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615" w:rsidRDefault="00C00615" w:rsidP="002D1ACC">
      <w:pPr>
        <w:jc w:val="center"/>
        <w:rPr>
          <w:rFonts w:ascii="Arial" w:hAnsi="Arial" w:cs="Arial"/>
          <w:b/>
          <w:lang w:val="en-US"/>
        </w:rPr>
      </w:pPr>
    </w:p>
    <w:p w:rsidR="0075572D" w:rsidRPr="0075572D" w:rsidRDefault="009F7E14" w:rsidP="002D1ACC">
      <w:pPr>
        <w:jc w:val="center"/>
        <w:rPr>
          <w:rFonts w:ascii="Arial" w:hAnsi="Arial" w:cs="Arial"/>
          <w:b/>
          <w:lang w:val="en-US"/>
        </w:rPr>
      </w:pPr>
      <w:r>
        <w:rPr>
          <w:rFonts w:ascii="Arial" w:hAnsi="Arial" w:cs="Arial"/>
          <w:b/>
          <w:lang w:val="en-US"/>
        </w:rPr>
        <w:t>I</w:t>
      </w:r>
      <w:r w:rsidR="00DC3326">
        <w:rPr>
          <w:rFonts w:ascii="Arial" w:hAnsi="Arial" w:cs="Arial"/>
          <w:b/>
          <w:lang w:val="en-US"/>
        </w:rPr>
        <w:t>nformation related to geo</w:t>
      </w:r>
      <w:r w:rsidR="00B160A2" w:rsidRPr="00AA46D7">
        <w:rPr>
          <w:rFonts w:ascii="Arial" w:hAnsi="Arial" w:cs="Arial"/>
          <w:b/>
          <w:lang w:val="en-US"/>
        </w:rPr>
        <w:t>location database TV WSD (planned) regulations outside Europe</w:t>
      </w:r>
      <w:r w:rsidR="00DF3663">
        <w:rPr>
          <w:rFonts w:ascii="Arial" w:hAnsi="Arial" w:cs="Arial"/>
          <w:b/>
          <w:lang w:val="en-US"/>
        </w:rPr>
        <w:t xml:space="preserve">. </w:t>
      </w:r>
      <w:r w:rsidR="00DF3663" w:rsidRPr="007F7D26">
        <w:rPr>
          <w:rFonts w:ascii="Arial" w:hAnsi="Arial" w:cs="Arial"/>
          <w:b/>
          <w:sz w:val="20"/>
          <w:szCs w:val="20"/>
          <w:lang w:val="en-US"/>
        </w:rPr>
        <w:t>Countries for consideration are</w:t>
      </w:r>
      <w:r w:rsidR="00D75E08" w:rsidRPr="007F7D26">
        <w:rPr>
          <w:rFonts w:ascii="Arial" w:hAnsi="Arial" w:cs="Arial"/>
          <w:b/>
          <w:sz w:val="20"/>
          <w:szCs w:val="20"/>
          <w:lang w:val="en-US"/>
        </w:rPr>
        <w:t xml:space="preserve"> </w:t>
      </w:r>
      <w:r w:rsidR="00177CEF">
        <w:rPr>
          <w:rFonts w:ascii="Arial" w:hAnsi="Arial" w:cs="Arial"/>
          <w:b/>
          <w:sz w:val="20"/>
          <w:szCs w:val="20"/>
          <w:lang w:val="en-US"/>
        </w:rPr>
        <w:t xml:space="preserve">the </w:t>
      </w:r>
      <w:r w:rsidR="00177CEF" w:rsidRPr="007F7D26">
        <w:rPr>
          <w:rFonts w:ascii="Arial" w:hAnsi="Arial" w:cs="Arial"/>
          <w:b/>
          <w:sz w:val="20"/>
          <w:szCs w:val="20"/>
          <w:lang w:val="en-US"/>
        </w:rPr>
        <w:t>USA</w:t>
      </w:r>
      <w:r w:rsidR="00177CEF">
        <w:rPr>
          <w:rFonts w:ascii="Arial" w:hAnsi="Arial" w:cs="Arial"/>
          <w:b/>
          <w:sz w:val="20"/>
          <w:szCs w:val="20"/>
          <w:lang w:val="en-US"/>
        </w:rPr>
        <w:t xml:space="preserve">, Singapore, </w:t>
      </w:r>
      <w:r w:rsidR="00D75E08" w:rsidRPr="007F7D26">
        <w:rPr>
          <w:rFonts w:ascii="Arial" w:hAnsi="Arial" w:cs="Arial"/>
          <w:b/>
          <w:sz w:val="20"/>
          <w:szCs w:val="20"/>
          <w:lang w:val="en-US"/>
        </w:rPr>
        <w:t>Canada, Japan</w:t>
      </w:r>
      <w:r w:rsidR="00177CEF">
        <w:rPr>
          <w:rFonts w:ascii="Arial" w:hAnsi="Arial" w:cs="Arial"/>
          <w:b/>
          <w:sz w:val="20"/>
          <w:szCs w:val="20"/>
          <w:lang w:val="en-US"/>
        </w:rPr>
        <w:t xml:space="preserve"> and</w:t>
      </w:r>
      <w:r w:rsidR="006D244B">
        <w:rPr>
          <w:rFonts w:ascii="Arial" w:hAnsi="Arial" w:cs="Arial"/>
          <w:b/>
          <w:sz w:val="20"/>
          <w:szCs w:val="20"/>
          <w:lang w:val="en-US"/>
        </w:rPr>
        <w:t xml:space="preserve"> </w:t>
      </w:r>
      <w:r w:rsidR="00D75E08" w:rsidRPr="007F7D26">
        <w:rPr>
          <w:rFonts w:ascii="Arial" w:hAnsi="Arial" w:cs="Arial"/>
          <w:b/>
          <w:sz w:val="20"/>
          <w:szCs w:val="20"/>
          <w:lang w:val="en-US"/>
        </w:rPr>
        <w:t>South</w:t>
      </w:r>
      <w:r w:rsidRPr="007F7D26">
        <w:rPr>
          <w:rFonts w:ascii="Arial" w:hAnsi="Arial" w:cs="Arial"/>
          <w:b/>
          <w:sz w:val="20"/>
          <w:szCs w:val="20"/>
          <w:lang w:val="en-US"/>
        </w:rPr>
        <w:t xml:space="preserve"> </w:t>
      </w:r>
      <w:r w:rsidR="00D75E08" w:rsidRPr="007F7D26">
        <w:rPr>
          <w:rFonts w:ascii="Arial" w:hAnsi="Arial" w:cs="Arial"/>
          <w:b/>
          <w:sz w:val="20"/>
          <w:szCs w:val="20"/>
          <w:lang w:val="en-US"/>
        </w:rPr>
        <w:t>Africa</w:t>
      </w:r>
      <w:r w:rsidR="00177CEF">
        <w:rPr>
          <w:rFonts w:ascii="Arial" w:hAnsi="Arial" w:cs="Arial"/>
          <w:b/>
          <w:sz w:val="20"/>
          <w:szCs w:val="20"/>
          <w:lang w:val="en-US"/>
        </w:rPr>
        <w:t>.</w:t>
      </w:r>
      <w:r w:rsidR="007F7D26" w:rsidRPr="007F7D26">
        <w:rPr>
          <w:rFonts w:ascii="Arial" w:hAnsi="Arial" w:cs="Arial"/>
          <w:b/>
          <w:sz w:val="20"/>
          <w:szCs w:val="20"/>
          <w:lang w:val="en-US"/>
        </w:rPr>
        <w:t xml:space="preserve"> </w:t>
      </w:r>
    </w:p>
    <w:p w:rsidR="005648F3" w:rsidRPr="009F7E14" w:rsidRDefault="005648F3" w:rsidP="003F39A6">
      <w:pPr>
        <w:pStyle w:val="ListParagraph"/>
        <w:numPr>
          <w:ilvl w:val="0"/>
          <w:numId w:val="20"/>
        </w:numPr>
        <w:spacing w:after="120" w:line="240" w:lineRule="auto"/>
        <w:jc w:val="both"/>
        <w:rPr>
          <w:rFonts w:ascii="Arial" w:eastAsia="Times New Roman" w:hAnsi="Arial" w:cs="Arial"/>
          <w:b/>
          <w:lang w:val="en-GB" w:eastAsia="de-DE"/>
        </w:rPr>
      </w:pPr>
      <w:r w:rsidRPr="009F7E14">
        <w:rPr>
          <w:rFonts w:ascii="Arial" w:eastAsia="Times New Roman" w:hAnsi="Arial" w:cs="Arial"/>
          <w:b/>
          <w:lang w:val="en-GB" w:eastAsia="de-DE"/>
        </w:rPr>
        <w:t>FCC – Incentive auction (600 MHz plans)</w:t>
      </w:r>
      <w:r w:rsidR="00073765" w:rsidRPr="009F7E14">
        <w:rPr>
          <w:rFonts w:ascii="Arial" w:eastAsia="Times New Roman" w:hAnsi="Arial" w:cs="Arial"/>
          <w:b/>
          <w:lang w:val="en-GB" w:eastAsia="de-DE"/>
        </w:rPr>
        <w:t xml:space="preserve"> </w:t>
      </w:r>
      <w:r w:rsidR="00E606E8">
        <w:rPr>
          <w:rFonts w:ascii="Arial" w:eastAsia="Times New Roman" w:hAnsi="Arial" w:cs="Arial"/>
          <w:b/>
          <w:lang w:val="en-GB" w:eastAsia="de-DE"/>
        </w:rPr>
        <w:t xml:space="preserve">description </w:t>
      </w:r>
      <w:r w:rsidR="009F7E14">
        <w:rPr>
          <w:rFonts w:ascii="Arial" w:eastAsia="Times New Roman" w:hAnsi="Arial" w:cs="Arial"/>
          <w:b/>
          <w:lang w:val="en-GB" w:eastAsia="de-DE"/>
        </w:rPr>
        <w:t>(</w:t>
      </w:r>
      <w:r w:rsidR="00E606E8">
        <w:rPr>
          <w:rFonts w:ascii="Arial" w:eastAsia="Times New Roman" w:hAnsi="Arial" w:cs="Arial"/>
          <w:b/>
          <w:lang w:val="en-GB" w:eastAsia="de-DE"/>
        </w:rPr>
        <w:t xml:space="preserve">update late </w:t>
      </w:r>
      <w:r w:rsidR="00073765" w:rsidRPr="009F7E14">
        <w:rPr>
          <w:rFonts w:ascii="Arial" w:eastAsia="Times New Roman" w:hAnsi="Arial" w:cs="Arial"/>
          <w:b/>
          <w:lang w:val="en-GB" w:eastAsia="de-DE"/>
        </w:rPr>
        <w:t xml:space="preserve"> 201</w:t>
      </w:r>
      <w:r w:rsidR="00E606E8">
        <w:rPr>
          <w:rFonts w:ascii="Arial" w:eastAsia="Times New Roman" w:hAnsi="Arial" w:cs="Arial"/>
          <w:b/>
          <w:lang w:val="en-GB" w:eastAsia="de-DE"/>
        </w:rPr>
        <w:t>5</w:t>
      </w:r>
      <w:r w:rsidR="009F7E14">
        <w:rPr>
          <w:rFonts w:ascii="Arial" w:eastAsia="Times New Roman" w:hAnsi="Arial" w:cs="Arial"/>
          <w:b/>
          <w:lang w:val="en-GB" w:eastAsia="de-DE"/>
        </w:rPr>
        <w:t>)</w:t>
      </w:r>
    </w:p>
    <w:p w:rsidR="00D31B48" w:rsidRPr="009F7E14" w:rsidRDefault="005648F3" w:rsidP="00D31B48">
      <w:pPr>
        <w:spacing w:after="120" w:line="240" w:lineRule="auto"/>
        <w:rPr>
          <w:rFonts w:ascii="Arial" w:eastAsia="Times New Roman" w:hAnsi="Arial" w:cs="Arial"/>
          <w:color w:val="000000"/>
          <w:lang w:val="en-US" w:eastAsia="de-DE"/>
        </w:rPr>
      </w:pPr>
      <w:r w:rsidRPr="0075572D">
        <w:rPr>
          <w:rFonts w:ascii="Arial" w:eastAsia="Times New Roman" w:hAnsi="Arial" w:cs="Arial"/>
          <w:lang w:val="en-GB" w:eastAsia="da-DK"/>
        </w:rPr>
        <w:t xml:space="preserve">The incentive auction was </w:t>
      </w:r>
      <w:hyperlink r:id="rId9" w:tgtFrame="_blank" w:history="1">
        <w:r w:rsidRPr="0075572D">
          <w:rPr>
            <w:rFonts w:ascii="Arial" w:eastAsia="Times New Roman" w:hAnsi="Arial" w:cs="Arial"/>
            <w:color w:val="000000"/>
            <w:u w:val="single"/>
            <w:lang w:val="en-GB" w:eastAsia="da-DK"/>
          </w:rPr>
          <w:t>proposed in late 2012</w:t>
        </w:r>
      </w:hyperlink>
      <w:r w:rsidR="00B86387">
        <w:rPr>
          <w:rFonts w:ascii="Arial" w:eastAsia="Times New Roman" w:hAnsi="Arial" w:cs="Arial"/>
          <w:lang w:val="en-GB" w:eastAsia="da-DK"/>
        </w:rPr>
        <w:t xml:space="preserve"> as part of the F</w:t>
      </w:r>
      <w:r w:rsidRPr="0075572D">
        <w:rPr>
          <w:rFonts w:ascii="Arial" w:eastAsia="Times New Roman" w:hAnsi="Arial" w:cs="Arial"/>
          <w:lang w:val="en-GB" w:eastAsia="da-DK"/>
        </w:rPr>
        <w:t xml:space="preserve">ederal government’s plan to meet President Obama’s mandate to free up 500 MHz of new spectrum for wireless services by 2020. </w:t>
      </w:r>
      <w:r w:rsidR="00D31B48" w:rsidRPr="0075572D">
        <w:rPr>
          <w:rFonts w:ascii="Arial" w:eastAsia="Times New Roman" w:hAnsi="Arial" w:cs="Arial"/>
          <w:lang w:val="en-GB" w:eastAsia="da-DK"/>
        </w:rPr>
        <w:t xml:space="preserve">The </w:t>
      </w:r>
      <w:r w:rsidR="00D31B48">
        <w:rPr>
          <w:rFonts w:ascii="Arial" w:eastAsia="Times New Roman" w:hAnsi="Arial" w:cs="Arial"/>
          <w:lang w:val="en-GB" w:eastAsia="da-DK"/>
        </w:rPr>
        <w:t>plan was</w:t>
      </w:r>
      <w:r w:rsidR="00D31B48" w:rsidRPr="0075572D">
        <w:rPr>
          <w:rFonts w:ascii="Arial" w:eastAsia="Times New Roman" w:hAnsi="Arial" w:cs="Arial"/>
          <w:lang w:val="en-GB" w:eastAsia="da-DK"/>
        </w:rPr>
        <w:t xml:space="preserve"> to auction off 600 MHz spectrum licences for use by public mobile operators, based on a preceding incentive auction for TV licensees to give up their licences. </w:t>
      </w:r>
      <w:r w:rsidR="00D31B48">
        <w:rPr>
          <w:rFonts w:ascii="Arial" w:eastAsia="Times New Roman" w:hAnsi="Arial" w:cs="Arial"/>
          <w:lang w:val="en-GB" w:eastAsia="da-DK"/>
        </w:rPr>
        <w:t xml:space="preserve"> </w:t>
      </w:r>
      <w:r w:rsidR="00D31B48" w:rsidRPr="009F7E14">
        <w:rPr>
          <w:rFonts w:ascii="Arial" w:eastAsia="Times New Roman" w:hAnsi="Arial" w:cs="Arial"/>
          <w:color w:val="000000"/>
          <w:lang w:val="en-US" w:eastAsia="de-DE"/>
        </w:rPr>
        <w:t xml:space="preserve">The FCC adopted basic rules for the auction in May 2014 and then set about writing more detailed rules for how the auction would be governed. </w:t>
      </w:r>
    </w:p>
    <w:p w:rsidR="005648F3" w:rsidRPr="0075572D" w:rsidRDefault="005648F3" w:rsidP="008409D6">
      <w:pPr>
        <w:spacing w:after="120" w:line="240" w:lineRule="auto"/>
        <w:rPr>
          <w:rFonts w:ascii="Arial" w:eastAsia="Times New Roman" w:hAnsi="Arial" w:cs="Arial"/>
          <w:lang w:val="en-GB" w:eastAsia="da-DK"/>
        </w:rPr>
      </w:pPr>
      <w:r w:rsidRPr="0075572D">
        <w:rPr>
          <w:rFonts w:ascii="Arial" w:eastAsia="Times New Roman" w:hAnsi="Arial" w:cs="Arial"/>
          <w:lang w:val="en-GB" w:eastAsia="da-DK"/>
        </w:rPr>
        <w:t>The auction process starts with a reverse auction, in which television broadcasters which choose to participate give up spectrum holdings The FCC’s advice includes that “we will not know in advance the amount of spectrum we can make available in the forward auction, the specific frequencies that will be available and, perhaps, the geographic location of such frequencies.”</w:t>
      </w:r>
      <w:r w:rsidR="00342A23">
        <w:rPr>
          <w:rFonts w:ascii="Arial" w:eastAsia="Times New Roman" w:hAnsi="Arial" w:cs="Arial"/>
          <w:lang w:val="en-GB" w:eastAsia="da-DK"/>
        </w:rPr>
        <w:t xml:space="preserve"> </w:t>
      </w:r>
      <w:r w:rsidR="00342A23" w:rsidRPr="0075572D">
        <w:rPr>
          <w:rFonts w:ascii="Arial" w:eastAsia="Times New Roman" w:hAnsi="Arial" w:cs="Arial"/>
          <w:lang w:val="en" w:eastAsia="da-DK"/>
        </w:rPr>
        <w:t>The auction is expected to take place later on in 2015</w:t>
      </w:r>
      <w:r w:rsidR="00342A23">
        <w:rPr>
          <w:rFonts w:ascii="Arial" w:eastAsia="Times New Roman" w:hAnsi="Arial" w:cs="Arial"/>
          <w:lang w:val="en" w:eastAsia="da-DK"/>
        </w:rPr>
        <w:t xml:space="preserve">. </w:t>
      </w:r>
    </w:p>
    <w:p w:rsidR="005648F3" w:rsidRPr="0075572D" w:rsidRDefault="005648F3" w:rsidP="008409D6">
      <w:pPr>
        <w:spacing w:after="120" w:line="240" w:lineRule="auto"/>
        <w:rPr>
          <w:rFonts w:ascii="Arial" w:eastAsia="Times New Roman" w:hAnsi="Arial" w:cs="Arial"/>
          <w:lang w:val="en-GB" w:eastAsia="da-DK"/>
        </w:rPr>
      </w:pPr>
      <w:r w:rsidRPr="0075572D">
        <w:rPr>
          <w:rFonts w:ascii="Arial" w:eastAsia="Times New Roman" w:hAnsi="Arial" w:cs="Arial"/>
          <w:lang w:val="en-GB" w:eastAsia="da-DK"/>
        </w:rPr>
        <w:t>Instead of the traditional auction model that relies on a single band plan with identified frequencies, a set number of spectrum blocks and a uniform set of geographic area licences, the new auction framework must be flexible enough to accommodate varying amounts of spectrum in different locations.</w:t>
      </w:r>
    </w:p>
    <w:p w:rsidR="005648F3" w:rsidRPr="0075572D" w:rsidRDefault="005648F3" w:rsidP="008409D6">
      <w:pPr>
        <w:spacing w:after="120" w:line="240" w:lineRule="auto"/>
        <w:rPr>
          <w:rFonts w:ascii="Arial" w:eastAsia="Times New Roman" w:hAnsi="Arial" w:cs="Arial"/>
          <w:lang w:val="en-GB" w:eastAsia="da-DK"/>
        </w:rPr>
      </w:pPr>
      <w:r w:rsidRPr="0075572D">
        <w:rPr>
          <w:rFonts w:ascii="Arial" w:eastAsia="Times New Roman" w:hAnsi="Arial" w:cs="Arial"/>
          <w:lang w:val="en-GB" w:eastAsia="da-DK"/>
        </w:rPr>
        <w:t>The FCC expressed a strong interest in establishing a band plan framework that is flexible enough to accommodate market variation (i.e., offering varying amounts of spectrum in different geographic locations, depending on the spectrum recovered) to maximize the amount of spectrum re-purposed.</w:t>
      </w:r>
    </w:p>
    <w:p w:rsidR="005648F3" w:rsidRDefault="005648F3" w:rsidP="008409D6">
      <w:pPr>
        <w:spacing w:after="120" w:line="240" w:lineRule="auto"/>
        <w:rPr>
          <w:rFonts w:ascii="Arial" w:eastAsia="Times New Roman" w:hAnsi="Arial" w:cs="Arial"/>
          <w:lang w:val="en-GB" w:eastAsia="da-DK"/>
        </w:rPr>
      </w:pPr>
      <w:r w:rsidRPr="0075572D">
        <w:rPr>
          <w:rFonts w:ascii="Arial" w:eastAsia="Times New Roman" w:hAnsi="Arial" w:cs="Arial"/>
          <w:lang w:val="en-GB" w:eastAsia="da-DK"/>
        </w:rPr>
        <w:t>In response to the NPRM</w:t>
      </w:r>
      <w:r w:rsidR="006611DB">
        <w:rPr>
          <w:rFonts w:ascii="Arial" w:eastAsia="Times New Roman" w:hAnsi="Arial" w:cs="Arial"/>
          <w:lang w:val="en-GB" w:eastAsia="da-DK"/>
        </w:rPr>
        <w:t xml:space="preserve"> (</w:t>
      </w:r>
      <w:r w:rsidR="006611DB" w:rsidRPr="009F7E14">
        <w:rPr>
          <w:rFonts w:ascii="Arial" w:eastAsia="Times New Roman" w:hAnsi="Arial" w:cs="Arial"/>
          <w:color w:val="000000"/>
          <w:lang w:val="en-US" w:eastAsia="de-DE"/>
        </w:rPr>
        <w:t>new proposed rulemaking/ consultation)</w:t>
      </w:r>
      <w:r w:rsidRPr="0075572D">
        <w:rPr>
          <w:rFonts w:ascii="Arial" w:eastAsia="Times New Roman" w:hAnsi="Arial" w:cs="Arial"/>
          <w:lang w:val="en-GB" w:eastAsia="da-DK"/>
        </w:rPr>
        <w:t xml:space="preserve"> and the 600 MHz Band Plan Supplemental Public Notice, a number of commenters raised concerns about co-channel and adjacent-channel interference between television and wireless services in nearby markets as a result of accommodating market variation.  The most common approach commenters propose is to use a pre-defined separation distance between TV and mobile service areas.  Commenters proposed distances that varied significantly—ranging from 100 km to 500 km—and generally provided limited technical analysis in support of these proposals (This iss</w:t>
      </w:r>
      <w:r w:rsidR="00B16495">
        <w:rPr>
          <w:rFonts w:ascii="Arial" w:eastAsia="Times New Roman" w:hAnsi="Arial" w:cs="Arial"/>
          <w:lang w:val="en-GB" w:eastAsia="da-DK"/>
        </w:rPr>
        <w:t xml:space="preserve">ue is addressed in CEPT Report </w:t>
      </w:r>
      <w:r w:rsidRPr="0075572D">
        <w:rPr>
          <w:rFonts w:ascii="Arial" w:eastAsia="Times New Roman" w:hAnsi="Arial" w:cs="Arial"/>
          <w:lang w:val="en-GB" w:eastAsia="da-DK"/>
        </w:rPr>
        <w:t>29)</w:t>
      </w:r>
      <w:r w:rsidR="00AC39EE">
        <w:rPr>
          <w:rFonts w:ascii="Arial" w:eastAsia="Times New Roman" w:hAnsi="Arial" w:cs="Arial"/>
          <w:lang w:val="en-GB" w:eastAsia="da-DK"/>
        </w:rPr>
        <w:t>.</w:t>
      </w:r>
      <w:r w:rsidR="00C00615">
        <w:rPr>
          <w:rFonts w:ascii="Arial" w:eastAsia="Times New Roman" w:hAnsi="Arial" w:cs="Arial"/>
          <w:lang w:val="en-GB" w:eastAsia="da-DK"/>
        </w:rPr>
        <w:br/>
      </w:r>
    </w:p>
    <w:p w:rsidR="001F5BEB" w:rsidRPr="00C00615" w:rsidRDefault="001F5BEB" w:rsidP="00C00615">
      <w:pPr>
        <w:pStyle w:val="ListParagraph"/>
        <w:numPr>
          <w:ilvl w:val="1"/>
          <w:numId w:val="31"/>
        </w:numPr>
        <w:tabs>
          <w:tab w:val="left" w:pos="426"/>
        </w:tabs>
        <w:spacing w:after="120" w:line="240" w:lineRule="auto"/>
        <w:outlineLvl w:val="2"/>
        <w:rPr>
          <w:rFonts w:ascii="Arial" w:eastAsia="Times New Roman" w:hAnsi="Arial" w:cs="Arial"/>
          <w:b/>
          <w:bCs/>
          <w:lang w:val="en" w:eastAsia="da-DK"/>
        </w:rPr>
      </w:pPr>
      <w:r w:rsidRPr="00C00615">
        <w:rPr>
          <w:rFonts w:ascii="Arial" w:eastAsia="Times New Roman" w:hAnsi="Arial" w:cs="Arial"/>
          <w:b/>
          <w:bCs/>
          <w:lang w:val="en" w:eastAsia="da-DK"/>
        </w:rPr>
        <w:t>FCC delays start of 600 MHz incentive auction to early 2016</w:t>
      </w:r>
    </w:p>
    <w:p w:rsidR="001F5BEB" w:rsidRPr="009F7E14" w:rsidRDefault="001F5BEB" w:rsidP="001F5BEB">
      <w:pPr>
        <w:spacing w:after="120" w:line="240" w:lineRule="auto"/>
        <w:rPr>
          <w:rFonts w:ascii="Arial" w:eastAsia="Times New Roman" w:hAnsi="Arial" w:cs="Arial"/>
          <w:color w:val="000000"/>
          <w:lang w:val="en-US" w:eastAsia="de-DE"/>
        </w:rPr>
      </w:pPr>
      <w:r w:rsidRPr="009F7E14">
        <w:rPr>
          <w:rFonts w:ascii="Arial" w:eastAsia="Times New Roman" w:hAnsi="Arial" w:cs="Arial"/>
          <w:color w:val="000000"/>
          <w:lang w:val="en-US" w:eastAsia="de-DE"/>
        </w:rPr>
        <w:t>The FCC has decided to delay the start of the 600 MHz broadcast TV spectrum incentive auction from mid-2015 to early 2016. The delay marks the second time in less than a year the FCC has pushed back the start date of the auction</w:t>
      </w:r>
      <w:r w:rsidR="00323F17">
        <w:rPr>
          <w:rStyle w:val="FootnoteReference"/>
          <w:rFonts w:ascii="Arial" w:eastAsia="Times New Roman" w:hAnsi="Arial" w:cs="Arial"/>
          <w:color w:val="000000"/>
          <w:lang w:val="en-US" w:eastAsia="de-DE"/>
        </w:rPr>
        <w:footnoteReference w:id="1"/>
      </w:r>
      <w:r w:rsidRPr="009F7E14">
        <w:rPr>
          <w:rFonts w:ascii="Arial" w:eastAsia="Times New Roman" w:hAnsi="Arial" w:cs="Arial"/>
          <w:color w:val="000000"/>
          <w:lang w:val="en-US" w:eastAsia="de-DE"/>
        </w:rPr>
        <w:t xml:space="preserve"> and is an indication of the both the complexity in designing the auction and the problems stemming from a legal challenge against the auction by the National Association of Broadcasters.</w:t>
      </w:r>
    </w:p>
    <w:p w:rsidR="001F5BEB" w:rsidRPr="009F7E14" w:rsidRDefault="001F5BEB" w:rsidP="001F5BEB">
      <w:pPr>
        <w:spacing w:after="120" w:line="240" w:lineRule="auto"/>
        <w:rPr>
          <w:rFonts w:ascii="Arial" w:eastAsia="Times New Roman" w:hAnsi="Arial" w:cs="Arial"/>
          <w:color w:val="000000"/>
          <w:lang w:val="en-US" w:eastAsia="de-DE"/>
        </w:rPr>
      </w:pPr>
      <w:r w:rsidRPr="009F7E14">
        <w:rPr>
          <w:rFonts w:ascii="Arial" w:eastAsia="Times New Roman" w:hAnsi="Arial" w:cs="Arial"/>
          <w:color w:val="000000"/>
          <w:lang w:val="en-US" w:eastAsia="de-DE"/>
        </w:rPr>
        <w:t>The NAB (National Association of Broadcasters) sued the FCC in August, arguing that the agency's rules would diminish broadcasters' coverage areas and could result in a loss in viewership. One of the broadcasters' main arguments against the FCC is that the Commission has changed how it calculates TV station coverage areas, using a methodology known as OET-69, (OET = the FCC's Office of Engineering and Technology). The NAB has said it did not intend that its lawsuit would derail the auction.</w:t>
      </w:r>
    </w:p>
    <w:p w:rsidR="001F5BEB" w:rsidRPr="009F7E14" w:rsidRDefault="001F5BEB" w:rsidP="001F5BEB">
      <w:pPr>
        <w:spacing w:after="120" w:line="240" w:lineRule="auto"/>
        <w:rPr>
          <w:rFonts w:ascii="Arial" w:eastAsia="Times New Roman" w:hAnsi="Arial" w:cs="Arial"/>
          <w:color w:val="000000"/>
          <w:lang w:val="en-US" w:eastAsia="de-DE"/>
        </w:rPr>
      </w:pPr>
      <w:r w:rsidRPr="009F7E14">
        <w:rPr>
          <w:rFonts w:ascii="Arial" w:eastAsia="Times New Roman" w:hAnsi="Arial" w:cs="Arial"/>
          <w:color w:val="000000"/>
          <w:lang w:val="en-US" w:eastAsia="de-DE"/>
        </w:rPr>
        <w:t>Under the basic auction structure, after broadcasters give up their spectrum, it will be "repacked" so that broadcasters that do not give up their spectrum can stay on the air, but typically on different frequencies. Then the FCC will conduct a traditional "forward" auction in which wireless carriers will bid for the freed spectrum; how much freed spectrum is available will depend on how much broadcasters are prepared to relinquish in return for the fees they offe</w:t>
      </w:r>
      <w:r w:rsidR="00323F17">
        <w:rPr>
          <w:rFonts w:ascii="Arial" w:eastAsia="Times New Roman" w:hAnsi="Arial" w:cs="Arial"/>
          <w:color w:val="000000"/>
          <w:lang w:val="en-US" w:eastAsia="de-DE"/>
        </w:rPr>
        <w:t>r to receive in order to do so.</w:t>
      </w:r>
    </w:p>
    <w:p w:rsidR="00BD4D77" w:rsidRPr="009F7E14" w:rsidRDefault="00BD4D77" w:rsidP="00BD4D77">
      <w:pPr>
        <w:spacing w:after="120" w:line="240" w:lineRule="auto"/>
        <w:rPr>
          <w:rFonts w:ascii="Arial" w:eastAsia="Times New Roman" w:hAnsi="Arial" w:cs="Arial"/>
          <w:b/>
          <w:i/>
          <w:color w:val="000000"/>
          <w:lang w:val="en-US" w:eastAsia="de-DE"/>
        </w:rPr>
      </w:pPr>
      <w:r w:rsidRPr="009F7E14">
        <w:rPr>
          <w:rFonts w:ascii="Arial" w:eastAsia="Times New Roman" w:hAnsi="Arial" w:cs="Arial"/>
          <w:b/>
          <w:i/>
          <w:color w:val="000000"/>
          <w:lang w:val="en-US" w:eastAsia="de-DE"/>
        </w:rPr>
        <w:lastRenderedPageBreak/>
        <w:t>Other spectrum users in UHF</w:t>
      </w:r>
    </w:p>
    <w:p w:rsidR="00BD4D77" w:rsidRPr="009F7E14" w:rsidRDefault="00323F17" w:rsidP="00BD4D77">
      <w:pPr>
        <w:spacing w:after="12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T</w:t>
      </w:r>
      <w:r w:rsidR="00BD4D77" w:rsidRPr="009F7E14">
        <w:rPr>
          <w:rFonts w:ascii="Arial" w:eastAsia="Times New Roman" w:hAnsi="Arial" w:cs="Arial"/>
          <w:color w:val="000000"/>
          <w:lang w:val="en-US" w:eastAsia="de-DE"/>
        </w:rPr>
        <w:t>he FCC</w:t>
      </w:r>
      <w:r>
        <w:rPr>
          <w:rFonts w:ascii="Arial" w:eastAsia="Times New Roman" w:hAnsi="Arial" w:cs="Arial"/>
          <w:color w:val="000000"/>
          <w:lang w:val="en-US" w:eastAsia="de-DE"/>
        </w:rPr>
        <w:t>,</w:t>
      </w:r>
      <w:r w:rsidR="00BD4D77" w:rsidRPr="009F7E14">
        <w:rPr>
          <w:rFonts w:ascii="Arial" w:eastAsia="Times New Roman" w:hAnsi="Arial" w:cs="Arial"/>
          <w:color w:val="000000"/>
          <w:lang w:val="en-US" w:eastAsia="de-DE"/>
        </w:rPr>
        <w:t xml:space="preserve"> </w:t>
      </w:r>
      <w:r w:rsidRPr="009F7E14">
        <w:rPr>
          <w:rFonts w:ascii="Arial" w:eastAsia="Times New Roman" w:hAnsi="Arial" w:cs="Arial"/>
          <w:color w:val="000000"/>
          <w:lang w:val="en-US" w:eastAsia="de-DE"/>
        </w:rPr>
        <w:t xml:space="preserve">on </w:t>
      </w:r>
      <w:r>
        <w:rPr>
          <w:rFonts w:ascii="Arial" w:eastAsia="Times New Roman" w:hAnsi="Arial" w:cs="Arial"/>
          <w:color w:val="000000"/>
          <w:lang w:val="en-US" w:eastAsia="de-DE"/>
        </w:rPr>
        <w:t xml:space="preserve">11 </w:t>
      </w:r>
      <w:proofErr w:type="gramStart"/>
      <w:r>
        <w:rPr>
          <w:rFonts w:ascii="Arial" w:eastAsia="Times New Roman" w:hAnsi="Arial" w:cs="Arial"/>
          <w:color w:val="000000"/>
          <w:lang w:val="en-US" w:eastAsia="de-DE"/>
        </w:rPr>
        <w:t>August  2015</w:t>
      </w:r>
      <w:proofErr w:type="gramEnd"/>
      <w:r>
        <w:rPr>
          <w:rFonts w:ascii="Arial" w:eastAsia="Times New Roman" w:hAnsi="Arial" w:cs="Arial"/>
          <w:color w:val="000000"/>
          <w:lang w:val="en-US" w:eastAsia="de-DE"/>
        </w:rPr>
        <w:t xml:space="preserve">, </w:t>
      </w:r>
      <w:r w:rsidR="00BD4D77" w:rsidRPr="009F7E14">
        <w:rPr>
          <w:rFonts w:ascii="Arial" w:eastAsia="Times New Roman" w:hAnsi="Arial" w:cs="Arial"/>
          <w:color w:val="000000"/>
          <w:lang w:val="en-US" w:eastAsia="de-DE"/>
        </w:rPr>
        <w:t>started a NPRM</w:t>
      </w:r>
      <w:r w:rsidR="006611DB" w:rsidRPr="009F7E14">
        <w:rPr>
          <w:rFonts w:ascii="Arial" w:eastAsia="Times New Roman" w:hAnsi="Arial" w:cs="Arial"/>
          <w:color w:val="000000"/>
          <w:lang w:val="en-US" w:eastAsia="de-DE"/>
        </w:rPr>
        <w:t xml:space="preserve"> </w:t>
      </w:r>
      <w:r w:rsidR="00BD4D77" w:rsidRPr="009F7E14">
        <w:rPr>
          <w:rFonts w:ascii="Arial" w:eastAsia="Times New Roman" w:hAnsi="Arial" w:cs="Arial"/>
          <w:color w:val="000000"/>
          <w:lang w:val="en-US" w:eastAsia="de-DE"/>
        </w:rPr>
        <w:t xml:space="preserve">for modification of the Part 15 rules (unlicensed devices). The Commission’s Part 15 rules permit devices to operate on unused “white space” spectrum between TV stations. The Notice of Proposed Rulemaking considers changes to its existing Part 15 rules to facilitate unlicensed use of the television bands, 600 MHz Band guard bands and channel 37. </w:t>
      </w:r>
    </w:p>
    <w:p w:rsidR="00BD4D77" w:rsidRDefault="00BD4D77" w:rsidP="00BD4D77">
      <w:pPr>
        <w:spacing w:after="120" w:line="240" w:lineRule="auto"/>
        <w:rPr>
          <w:rFonts w:ascii="Arial" w:eastAsia="Times New Roman" w:hAnsi="Arial" w:cs="Arial"/>
          <w:color w:val="000000"/>
          <w:lang w:val="en-US" w:eastAsia="de-DE"/>
        </w:rPr>
      </w:pPr>
      <w:r w:rsidRPr="009F7E14">
        <w:rPr>
          <w:rFonts w:ascii="Arial" w:eastAsia="Times New Roman" w:hAnsi="Arial" w:cs="Arial"/>
          <w:color w:val="000000"/>
          <w:lang w:val="en-US" w:eastAsia="de-DE"/>
        </w:rPr>
        <w:t xml:space="preserve">Following the incentive auction, with the repacking of the television band and the repurposing of current television spectrum for wireless services, there will be fewer frequencies in the UHF band available for use by unlicensed fixed and personal/portable white space devices and wireless microphones. The proposed changes to Part 15 rules are designed to allow for more robust service and efficient spectral use in the frequency bands that are now and will continue to be allocated and assigned to broadcast television services, while continuing to protect </w:t>
      </w:r>
      <w:proofErr w:type="spellStart"/>
      <w:r w:rsidRPr="009F7E14">
        <w:rPr>
          <w:rFonts w:ascii="Arial" w:eastAsia="Times New Roman" w:hAnsi="Arial" w:cs="Arial"/>
          <w:color w:val="000000"/>
          <w:lang w:val="en-US" w:eastAsia="de-DE"/>
        </w:rPr>
        <w:t>authorised</w:t>
      </w:r>
      <w:proofErr w:type="spellEnd"/>
      <w:r w:rsidRPr="009F7E14">
        <w:rPr>
          <w:rFonts w:ascii="Arial" w:eastAsia="Times New Roman" w:hAnsi="Arial" w:cs="Arial"/>
          <w:color w:val="000000"/>
          <w:lang w:val="en-US" w:eastAsia="de-DE"/>
        </w:rPr>
        <w:t xml:space="preserve"> users from harmful interference.</w:t>
      </w:r>
      <w:r w:rsidR="003F39A6">
        <w:rPr>
          <w:rFonts w:ascii="Arial" w:eastAsia="Times New Roman" w:hAnsi="Arial" w:cs="Arial"/>
          <w:color w:val="000000"/>
          <w:lang w:val="en-US" w:eastAsia="de-DE"/>
        </w:rPr>
        <w:t xml:space="preserve"> See document </w:t>
      </w:r>
      <w:hyperlink r:id="rId10" w:history="1">
        <w:r w:rsidR="003F39A6" w:rsidRPr="007C72A3">
          <w:rPr>
            <w:rStyle w:val="Hyperlink"/>
            <w:rFonts w:ascii="Arial" w:eastAsia="Times New Roman" w:hAnsi="Arial" w:cs="Arial"/>
            <w:lang w:val="en-US" w:eastAsia="de-DE"/>
          </w:rPr>
          <w:t>here.</w:t>
        </w:r>
      </w:hyperlink>
      <w:r w:rsidR="003F39A6">
        <w:rPr>
          <w:rFonts w:ascii="Arial" w:eastAsia="Times New Roman" w:hAnsi="Arial" w:cs="Arial"/>
          <w:color w:val="000000"/>
          <w:lang w:val="en-US" w:eastAsia="de-DE"/>
        </w:rPr>
        <w:t xml:space="preserve"> </w:t>
      </w:r>
    </w:p>
    <w:p w:rsidR="00C00615" w:rsidRPr="009F7E14" w:rsidRDefault="00C00615" w:rsidP="00BD4D77">
      <w:pPr>
        <w:spacing w:after="120" w:line="240" w:lineRule="auto"/>
        <w:rPr>
          <w:rFonts w:ascii="Arial" w:eastAsia="Times New Roman" w:hAnsi="Arial" w:cs="Arial"/>
          <w:color w:val="000000"/>
          <w:lang w:val="en-US" w:eastAsia="de-DE"/>
        </w:rPr>
      </w:pPr>
    </w:p>
    <w:p w:rsidR="00BD4D77" w:rsidRPr="0075572D" w:rsidRDefault="00BD4D77" w:rsidP="008409D6">
      <w:pPr>
        <w:spacing w:after="120" w:line="240" w:lineRule="auto"/>
        <w:rPr>
          <w:rFonts w:ascii="Arial" w:eastAsia="Times New Roman" w:hAnsi="Arial" w:cs="Arial"/>
          <w:lang w:val="en-GB" w:eastAsia="da-DK"/>
        </w:rPr>
      </w:pPr>
    </w:p>
    <w:p w:rsidR="005648F3" w:rsidRDefault="00323F17" w:rsidP="008409D6">
      <w:pPr>
        <w:spacing w:after="120" w:line="240" w:lineRule="auto"/>
        <w:ind w:left="284"/>
        <w:jc w:val="both"/>
        <w:rPr>
          <w:rFonts w:ascii="Arial" w:eastAsia="Times New Roman" w:hAnsi="Arial" w:cs="Arial"/>
          <w:b/>
          <w:lang w:val="en-GB" w:eastAsia="de-DE"/>
        </w:rPr>
      </w:pPr>
      <w:r>
        <w:rPr>
          <w:rFonts w:ascii="Arial" w:eastAsia="Times New Roman" w:hAnsi="Arial" w:cs="Arial"/>
          <w:b/>
          <w:lang w:val="en-GB" w:eastAsia="de-DE"/>
        </w:rPr>
        <w:t>1.2</w:t>
      </w:r>
      <w:r w:rsidR="00DF3663">
        <w:rPr>
          <w:rFonts w:ascii="Arial" w:eastAsia="Times New Roman" w:hAnsi="Arial" w:cs="Arial"/>
          <w:b/>
          <w:lang w:val="en-GB" w:eastAsia="de-DE"/>
        </w:rPr>
        <w:tab/>
      </w:r>
      <w:r w:rsidR="005648F3" w:rsidRPr="0075572D">
        <w:rPr>
          <w:rFonts w:ascii="Arial" w:eastAsia="Times New Roman" w:hAnsi="Arial" w:cs="Arial"/>
          <w:b/>
          <w:lang w:val="en-GB" w:eastAsia="de-DE"/>
        </w:rPr>
        <w:t>FCC unveils framework for the spectrum incentive auction - 600 MHz band plan</w:t>
      </w:r>
    </w:p>
    <w:p w:rsidR="005648F3" w:rsidRPr="0075572D" w:rsidRDefault="005648F3" w:rsidP="008409D6">
      <w:pPr>
        <w:spacing w:after="120" w:line="240" w:lineRule="auto"/>
        <w:rPr>
          <w:rFonts w:ascii="Arial" w:eastAsia="Times New Roman" w:hAnsi="Arial" w:cs="Arial"/>
          <w:lang w:val="en" w:eastAsia="da-DK"/>
        </w:rPr>
      </w:pPr>
      <w:r w:rsidRPr="0075572D">
        <w:rPr>
          <w:rFonts w:ascii="Arial" w:eastAsia="Times New Roman" w:hAnsi="Arial" w:cs="Arial"/>
          <w:lang w:val="en" w:eastAsia="da-DK"/>
        </w:rPr>
        <w:t xml:space="preserve">The Federal Communications Commission (FCC) issued on 15 May 2014 the report and order on the main rules for the broadcast TV spectrum incentive auction determining many significant issues and policy decisions. </w:t>
      </w:r>
      <w:hyperlink r:id="rId11" w:history="1">
        <w:r w:rsidR="001F5BEB" w:rsidRPr="0075572D">
          <w:rPr>
            <w:rFonts w:ascii="Arial" w:eastAsia="Times New Roman" w:hAnsi="Arial" w:cs="Arial"/>
            <w:color w:val="0000FF"/>
            <w:u w:val="single"/>
            <w:lang w:val="en" w:eastAsia="da-DK"/>
          </w:rPr>
          <w:t>Report and Order FCC 14-50</w:t>
        </w:r>
      </w:hyperlink>
      <w:r w:rsidR="001F5BEB" w:rsidRPr="0075572D">
        <w:rPr>
          <w:rFonts w:ascii="Arial" w:eastAsia="Times New Roman" w:hAnsi="Arial" w:cs="Arial"/>
          <w:lang w:val="en" w:eastAsia="da-DK"/>
        </w:rPr>
        <w:t>,</w:t>
      </w:r>
      <w:r w:rsidR="001F5BEB">
        <w:rPr>
          <w:rFonts w:ascii="Arial" w:eastAsia="Times New Roman" w:hAnsi="Arial" w:cs="Arial"/>
          <w:lang w:val="en" w:eastAsia="da-DK"/>
        </w:rPr>
        <w:t xml:space="preserve"> </w:t>
      </w:r>
      <w:r w:rsidRPr="0075572D">
        <w:rPr>
          <w:rFonts w:ascii="Arial" w:eastAsia="Times New Roman" w:hAnsi="Arial" w:cs="Arial"/>
          <w:lang w:val="en" w:eastAsia="da-DK"/>
        </w:rPr>
        <w:t>released 2 June 2014.</w:t>
      </w:r>
    </w:p>
    <w:p w:rsidR="005648F3" w:rsidRPr="0075572D" w:rsidRDefault="005648F3" w:rsidP="008409D6">
      <w:pPr>
        <w:spacing w:after="120" w:line="240" w:lineRule="auto"/>
        <w:rPr>
          <w:rFonts w:ascii="Arial" w:eastAsia="Times New Roman" w:hAnsi="Arial" w:cs="Arial"/>
          <w:lang w:val="en" w:eastAsia="da-DK"/>
        </w:rPr>
      </w:pPr>
      <w:r w:rsidRPr="0075572D">
        <w:rPr>
          <w:rFonts w:ascii="Arial" w:eastAsia="Times New Roman" w:hAnsi="Arial" w:cs="Arial"/>
          <w:lang w:val="en" w:eastAsia="da-DK"/>
        </w:rPr>
        <w:t>The report and order proposes a band plan for the 600 MHz band with specific paired uplink and downlink bands, enabling two-way communications, comprised of 5 MHz “building blocks”, consistent with the wireless industry's technical standards. The report and order allows for variation in the amount of spectrum recovered from broadcasters in different geographic areas to prevent the “least common denominator market” from limiting the quantity of spectrum that can be offered in the auction.</w:t>
      </w:r>
    </w:p>
    <w:p w:rsidR="005648F3" w:rsidRPr="0075572D" w:rsidRDefault="005648F3" w:rsidP="008409D6">
      <w:pPr>
        <w:spacing w:after="120" w:line="240" w:lineRule="auto"/>
        <w:rPr>
          <w:rFonts w:ascii="Arial" w:eastAsia="Times New Roman" w:hAnsi="Arial" w:cs="Arial"/>
          <w:lang w:val="en" w:eastAsia="da-DK"/>
        </w:rPr>
      </w:pPr>
      <w:r w:rsidRPr="0075572D">
        <w:rPr>
          <w:rFonts w:ascii="Arial" w:eastAsia="Times New Roman" w:hAnsi="Arial" w:cs="Arial"/>
          <w:lang w:val="en" w:eastAsia="da-DK"/>
        </w:rPr>
        <w:t xml:space="preserve">The proposal also adopts partial economic areas (PEAs) as the licensing area for the 600 MHz band to permit entry by providers that want to offer </w:t>
      </w:r>
      <w:proofErr w:type="spellStart"/>
      <w:r w:rsidRPr="0075572D">
        <w:rPr>
          <w:rFonts w:ascii="Arial" w:eastAsia="Times New Roman" w:hAnsi="Arial" w:cs="Arial"/>
          <w:lang w:val="en" w:eastAsia="da-DK"/>
        </w:rPr>
        <w:t>localised</w:t>
      </w:r>
      <w:proofErr w:type="spellEnd"/>
      <w:r w:rsidRPr="0075572D">
        <w:rPr>
          <w:rFonts w:ascii="Arial" w:eastAsia="Times New Roman" w:hAnsi="Arial" w:cs="Arial"/>
          <w:lang w:val="en" w:eastAsia="da-DK"/>
        </w:rPr>
        <w:t xml:space="preserve"> wireless broadband services while also allowing providers planning to offer service on a broader geographic scale to aggregate PEAs. It sets technical and services rules akin to those governing the adjacent 700 MHz band, and requires interoperability across the whole of the new 600 MHz band.</w:t>
      </w:r>
    </w:p>
    <w:p w:rsidR="005648F3" w:rsidRPr="0075572D" w:rsidRDefault="005648F3" w:rsidP="008409D6">
      <w:pPr>
        <w:spacing w:after="120" w:line="240" w:lineRule="auto"/>
        <w:rPr>
          <w:rFonts w:ascii="Arial" w:eastAsia="Times New Roman" w:hAnsi="Arial" w:cs="Arial"/>
          <w:lang w:val="en" w:eastAsia="da-DK"/>
        </w:rPr>
      </w:pPr>
      <w:r w:rsidRPr="0075572D">
        <w:rPr>
          <w:rFonts w:ascii="Arial" w:eastAsia="Times New Roman" w:hAnsi="Arial" w:cs="Arial"/>
          <w:lang w:val="en" w:eastAsia="da-DK"/>
        </w:rPr>
        <w:t>The report and order makes the 600 MHz guard band and channel 37 available for unlicensed use, thus making spectrum available for unlicensed devices nationwide. There could be 12-30 MHz of spectrum in the guard band and 6 MHz in channel 37 freed up, depending on how much spectrum broadcasters relinquish. There is likely to be a separate rulemaking proceeding shortly after the adoption of the report and order to consider changes to existing technical rules to govern the use of unlicensed devices in the 600 MHz band and channel 37 while protecting other users on the same or adjacent frequencies.</w:t>
      </w:r>
    </w:p>
    <w:p w:rsidR="005648F3" w:rsidRPr="00323F17" w:rsidRDefault="00323F17" w:rsidP="00323F17">
      <w:pPr>
        <w:spacing w:after="120" w:line="240" w:lineRule="auto"/>
        <w:ind w:left="360"/>
        <w:outlineLvl w:val="2"/>
        <w:rPr>
          <w:rFonts w:ascii="Arial" w:eastAsia="Times New Roman" w:hAnsi="Arial" w:cs="Arial"/>
          <w:b/>
          <w:bCs/>
          <w:lang w:val="en" w:eastAsia="da-DK"/>
        </w:rPr>
      </w:pPr>
      <w:r>
        <w:rPr>
          <w:rFonts w:ascii="Arial" w:eastAsia="Times New Roman" w:hAnsi="Arial" w:cs="Arial"/>
          <w:b/>
          <w:bCs/>
          <w:lang w:val="en" w:eastAsia="da-DK"/>
        </w:rPr>
        <w:t>1.3</w:t>
      </w:r>
      <w:proofErr w:type="gramStart"/>
      <w:r>
        <w:rPr>
          <w:rFonts w:ascii="Arial" w:eastAsia="Times New Roman" w:hAnsi="Arial" w:cs="Arial"/>
          <w:b/>
          <w:bCs/>
          <w:lang w:val="en" w:eastAsia="da-DK"/>
        </w:rPr>
        <w:t xml:space="preserve">. </w:t>
      </w:r>
      <w:r w:rsidR="00B527E0" w:rsidRPr="00323F17">
        <w:rPr>
          <w:rFonts w:ascii="Arial" w:eastAsia="Times New Roman" w:hAnsi="Arial" w:cs="Arial"/>
          <w:b/>
          <w:bCs/>
          <w:lang w:val="en" w:eastAsia="da-DK"/>
        </w:rPr>
        <w:t xml:space="preserve"> </w:t>
      </w:r>
      <w:r w:rsidR="005648F3" w:rsidRPr="00323F17">
        <w:rPr>
          <w:rFonts w:ascii="Arial" w:eastAsia="Times New Roman" w:hAnsi="Arial" w:cs="Arial"/>
          <w:b/>
          <w:bCs/>
          <w:lang w:val="en" w:eastAsia="da-DK"/>
        </w:rPr>
        <w:t>Repacking</w:t>
      </w:r>
      <w:proofErr w:type="gramEnd"/>
      <w:r w:rsidR="005648F3" w:rsidRPr="00323F17">
        <w:rPr>
          <w:rFonts w:ascii="Arial" w:eastAsia="Times New Roman" w:hAnsi="Arial" w:cs="Arial"/>
          <w:b/>
          <w:bCs/>
          <w:lang w:val="en" w:eastAsia="da-DK"/>
        </w:rPr>
        <w:t xml:space="preserve"> and transition</w:t>
      </w:r>
    </w:p>
    <w:p w:rsidR="005648F3" w:rsidRPr="0075572D" w:rsidRDefault="005648F3" w:rsidP="008409D6">
      <w:pPr>
        <w:spacing w:after="120" w:line="240" w:lineRule="auto"/>
        <w:rPr>
          <w:rFonts w:ascii="Arial" w:eastAsia="Times New Roman" w:hAnsi="Arial" w:cs="Arial"/>
          <w:lang w:val="en" w:eastAsia="da-DK"/>
        </w:rPr>
      </w:pPr>
      <w:r w:rsidRPr="0075572D">
        <w:rPr>
          <w:rFonts w:ascii="Arial" w:eastAsia="Times New Roman" w:hAnsi="Arial" w:cs="Arial"/>
          <w:lang w:val="en" w:eastAsia="da-DK"/>
        </w:rPr>
        <w:t xml:space="preserve">TV stations opting to remain on air will be assigned new channels after the incentive auction. The proposed repacking methodology makes all reasonable efforts to preserve a station's coverage area and population served as of 22 February 2012, the date of enactment of the Spectrum Act </w:t>
      </w:r>
      <w:proofErr w:type="spellStart"/>
      <w:r w:rsidRPr="0075572D">
        <w:rPr>
          <w:rFonts w:ascii="Arial" w:eastAsia="Times New Roman" w:hAnsi="Arial" w:cs="Arial"/>
          <w:lang w:val="en" w:eastAsia="da-DK"/>
        </w:rPr>
        <w:t>authorising</w:t>
      </w:r>
      <w:proofErr w:type="spellEnd"/>
      <w:r w:rsidRPr="0075572D">
        <w:rPr>
          <w:rFonts w:ascii="Arial" w:eastAsia="Times New Roman" w:hAnsi="Arial" w:cs="Arial"/>
          <w:lang w:val="en" w:eastAsia="da-DK"/>
        </w:rPr>
        <w:t xml:space="preserve"> the auction.</w:t>
      </w:r>
    </w:p>
    <w:p w:rsidR="005648F3" w:rsidRDefault="005648F3" w:rsidP="008409D6">
      <w:pPr>
        <w:spacing w:after="120" w:line="240" w:lineRule="auto"/>
        <w:rPr>
          <w:rFonts w:ascii="Arial" w:eastAsia="Times New Roman" w:hAnsi="Arial" w:cs="Arial"/>
          <w:lang w:val="en" w:eastAsia="da-DK"/>
        </w:rPr>
      </w:pPr>
      <w:r w:rsidRPr="0075572D">
        <w:rPr>
          <w:rFonts w:ascii="Arial" w:eastAsia="Times New Roman" w:hAnsi="Arial" w:cs="Arial"/>
          <w:lang w:val="en" w:eastAsia="da-DK"/>
        </w:rPr>
        <w:t xml:space="preserve">The report and order commits to making the post-auction transition “as smooth as possible”. Repurposed spectrum must be cleared no later than 39 months after repacking becomes effective. Broadcasters that successfully bid to relinquish their </w:t>
      </w:r>
      <w:proofErr w:type="spellStart"/>
      <w:r w:rsidRPr="0075572D">
        <w:rPr>
          <w:rFonts w:ascii="Arial" w:eastAsia="Times New Roman" w:hAnsi="Arial" w:cs="Arial"/>
          <w:lang w:val="en" w:eastAsia="da-DK"/>
        </w:rPr>
        <w:t>licences</w:t>
      </w:r>
      <w:proofErr w:type="spellEnd"/>
      <w:r w:rsidRPr="0075572D">
        <w:rPr>
          <w:rFonts w:ascii="Arial" w:eastAsia="Times New Roman" w:hAnsi="Arial" w:cs="Arial"/>
          <w:lang w:val="en" w:eastAsia="da-DK"/>
        </w:rPr>
        <w:t xml:space="preserve"> or share channels must cease operations on their pre-auction channels three months from the date they receive their auction proceeds. Those remaining on air have up to 39 months to shift to their new channels, with each station assigned a transition deadline tailored to its individual circumstances.</w:t>
      </w:r>
    </w:p>
    <w:p w:rsidR="009F7E14" w:rsidRPr="009F7E14" w:rsidRDefault="009F7E14" w:rsidP="008409D6">
      <w:pPr>
        <w:spacing w:after="120" w:line="240" w:lineRule="auto"/>
        <w:rPr>
          <w:rFonts w:ascii="Arial" w:eastAsia="Times New Roman" w:hAnsi="Arial" w:cs="Arial"/>
          <w:color w:val="000000"/>
          <w:lang w:val="en-US" w:eastAsia="de-DE"/>
        </w:rPr>
      </w:pPr>
      <w:proofErr w:type="gramStart"/>
      <w:r w:rsidRPr="009F7E14">
        <w:rPr>
          <w:rFonts w:ascii="Arial" w:eastAsia="Times New Roman" w:hAnsi="Arial" w:cs="Arial"/>
          <w:color w:val="000000"/>
          <w:lang w:val="en-US" w:eastAsia="de-DE"/>
        </w:rPr>
        <w:t>harmful</w:t>
      </w:r>
      <w:proofErr w:type="gramEnd"/>
      <w:r w:rsidRPr="009F7E14">
        <w:rPr>
          <w:rFonts w:ascii="Arial" w:eastAsia="Times New Roman" w:hAnsi="Arial" w:cs="Arial"/>
          <w:color w:val="000000"/>
          <w:lang w:val="en-US" w:eastAsia="de-DE"/>
        </w:rPr>
        <w:t xml:space="preserve"> interference.</w:t>
      </w:r>
    </w:p>
    <w:p w:rsidR="009F7E14" w:rsidRPr="009F7E14" w:rsidRDefault="009F7E14" w:rsidP="009F7E14">
      <w:pPr>
        <w:spacing w:after="0" w:line="240" w:lineRule="auto"/>
        <w:rPr>
          <w:rFonts w:ascii="Arial" w:eastAsia="Times New Roman" w:hAnsi="Arial" w:cs="Times New Roman"/>
          <w:b/>
          <w:lang w:val="en-GB" w:eastAsia="de-DE"/>
        </w:rPr>
      </w:pPr>
    </w:p>
    <w:p w:rsidR="009F7E14" w:rsidRPr="009F7E14" w:rsidRDefault="009F7E14" w:rsidP="009F7E14">
      <w:pPr>
        <w:spacing w:after="0" w:line="240" w:lineRule="auto"/>
        <w:rPr>
          <w:rFonts w:ascii="Arial" w:eastAsia="Times New Roman" w:hAnsi="Arial" w:cs="Times New Roman"/>
          <w:b/>
          <w:sz w:val="28"/>
          <w:szCs w:val="28"/>
          <w:lang w:val="en-GB" w:eastAsia="de-DE"/>
        </w:rPr>
      </w:pPr>
    </w:p>
    <w:p w:rsidR="00DC3326" w:rsidRDefault="00DC3326" w:rsidP="003B070B">
      <w:pPr>
        <w:spacing w:after="0" w:line="240" w:lineRule="auto"/>
        <w:rPr>
          <w:rFonts w:ascii="Arial" w:eastAsia="Times New Roman" w:hAnsi="Arial" w:cs="Arial"/>
          <w:color w:val="000000"/>
          <w:lang w:val="en-US" w:eastAsia="de-DE"/>
        </w:rPr>
      </w:pPr>
    </w:p>
    <w:p w:rsidR="006D244B" w:rsidRDefault="006D244B" w:rsidP="003B070B">
      <w:pPr>
        <w:spacing w:after="0" w:line="240" w:lineRule="auto"/>
        <w:rPr>
          <w:rFonts w:ascii="Arial" w:eastAsia="Times New Roman" w:hAnsi="Arial" w:cs="Arial"/>
          <w:color w:val="000000"/>
          <w:lang w:val="en-US" w:eastAsia="de-DE"/>
        </w:rPr>
      </w:pPr>
    </w:p>
    <w:p w:rsidR="006D244B" w:rsidRPr="006D244B" w:rsidRDefault="006D244B" w:rsidP="006D244B">
      <w:pPr>
        <w:pStyle w:val="ListParagraph"/>
        <w:numPr>
          <w:ilvl w:val="0"/>
          <w:numId w:val="20"/>
        </w:numPr>
        <w:spacing w:after="0" w:line="240" w:lineRule="auto"/>
        <w:rPr>
          <w:rFonts w:ascii="Arial" w:hAnsi="Arial" w:cs="Arial"/>
          <w:b/>
          <w:lang w:val="en-GB"/>
        </w:rPr>
      </w:pPr>
      <w:proofErr w:type="spellStart"/>
      <w:r w:rsidRPr="006D244B">
        <w:rPr>
          <w:rFonts w:ascii="Arial" w:hAnsi="Arial" w:cs="Arial"/>
          <w:b/>
          <w:lang w:val="en-GB"/>
        </w:rPr>
        <w:t>Infocomm</w:t>
      </w:r>
      <w:proofErr w:type="spellEnd"/>
      <w:r w:rsidRPr="006D244B">
        <w:rPr>
          <w:rFonts w:ascii="Arial" w:hAnsi="Arial" w:cs="Arial"/>
          <w:b/>
          <w:lang w:val="en-GB"/>
        </w:rPr>
        <w:t xml:space="preserve"> Development Authority of Singapore</w:t>
      </w:r>
      <w:r>
        <w:rPr>
          <w:rFonts w:ascii="Arial" w:hAnsi="Arial" w:cs="Arial"/>
          <w:b/>
          <w:lang w:val="en-GB"/>
        </w:rPr>
        <w:t xml:space="preserve"> </w:t>
      </w:r>
      <w:r w:rsidR="009E7FB9">
        <w:rPr>
          <w:rFonts w:ascii="Arial" w:hAnsi="Arial" w:cs="Arial"/>
          <w:b/>
          <w:lang w:val="en-GB"/>
        </w:rPr>
        <w:t xml:space="preserve">(IDA Singapore) </w:t>
      </w:r>
      <w:r>
        <w:rPr>
          <w:rFonts w:ascii="Arial" w:hAnsi="Arial" w:cs="Arial"/>
          <w:b/>
          <w:lang w:val="en-GB"/>
        </w:rPr>
        <w:t>(</w:t>
      </w:r>
      <w:r w:rsidRPr="006D244B">
        <w:rPr>
          <w:rFonts w:ascii="Arial" w:hAnsi="Arial" w:cs="Arial"/>
          <w:b/>
          <w:lang w:val="en-GB"/>
        </w:rPr>
        <w:t>March 2015</w:t>
      </w:r>
      <w:r>
        <w:rPr>
          <w:rFonts w:ascii="Arial" w:hAnsi="Arial" w:cs="Arial"/>
          <w:b/>
          <w:lang w:val="en-GB"/>
        </w:rPr>
        <w:t>)</w:t>
      </w:r>
    </w:p>
    <w:p w:rsidR="006D244B" w:rsidRDefault="006D244B" w:rsidP="006D244B">
      <w:pPr>
        <w:spacing w:after="0" w:line="240" w:lineRule="auto"/>
        <w:rPr>
          <w:rFonts w:ascii="Arial" w:eastAsia="Times New Roman" w:hAnsi="Arial" w:cs="Arial"/>
          <w:color w:val="000000"/>
          <w:lang w:val="en-US" w:eastAsia="de-DE"/>
        </w:rPr>
      </w:pPr>
    </w:p>
    <w:p w:rsidR="001A163C" w:rsidRPr="001A163C" w:rsidRDefault="00137EDA" w:rsidP="001A163C">
      <w:pPr>
        <w:spacing w:after="120" w:line="240" w:lineRule="auto"/>
        <w:rPr>
          <w:rFonts w:ascii="Arial" w:eastAsia="Times New Roman" w:hAnsi="Arial" w:cs="Arial"/>
          <w:color w:val="000000"/>
          <w:lang w:val="en-GB" w:eastAsia="de-DE"/>
        </w:rPr>
      </w:pPr>
      <w:r>
        <w:rPr>
          <w:rFonts w:ascii="Arial" w:eastAsia="Times New Roman" w:hAnsi="Arial" w:cs="Arial"/>
          <w:color w:val="000000"/>
          <w:lang w:val="en-US" w:eastAsia="de-DE"/>
        </w:rPr>
        <w:t>D</w:t>
      </w:r>
      <w:r w:rsidRPr="00137EDA">
        <w:rPr>
          <w:rFonts w:ascii="Arial" w:eastAsia="Times New Roman" w:hAnsi="Arial" w:cs="Arial"/>
          <w:color w:val="000000"/>
          <w:lang w:val="en-US" w:eastAsia="de-DE"/>
        </w:rPr>
        <w:t xml:space="preserve">ecision paper </w:t>
      </w:r>
      <w:r>
        <w:rPr>
          <w:rFonts w:ascii="Arial" w:eastAsia="Times New Roman" w:hAnsi="Arial" w:cs="Arial"/>
          <w:color w:val="000000"/>
          <w:lang w:val="en-US" w:eastAsia="de-DE"/>
        </w:rPr>
        <w:t xml:space="preserve">was </w:t>
      </w:r>
      <w:r w:rsidRPr="00137EDA">
        <w:rPr>
          <w:rFonts w:ascii="Arial" w:eastAsia="Times New Roman" w:hAnsi="Arial" w:cs="Arial"/>
          <w:color w:val="000000"/>
          <w:lang w:val="en-US" w:eastAsia="de-DE"/>
        </w:rPr>
        <w:t>issued by the</w:t>
      </w:r>
      <w:r>
        <w:rPr>
          <w:rFonts w:ascii="Arial" w:eastAsia="Times New Roman" w:hAnsi="Arial" w:cs="Arial"/>
          <w:color w:val="000000"/>
          <w:lang w:val="en-US" w:eastAsia="de-DE"/>
        </w:rPr>
        <w:t xml:space="preserve"> </w:t>
      </w:r>
      <w:r w:rsidRPr="009E7FB9">
        <w:rPr>
          <w:rFonts w:ascii="Arial" w:eastAsia="Times New Roman" w:hAnsi="Arial" w:cs="Arial"/>
          <w:color w:val="000000"/>
          <w:lang w:val="en-US" w:eastAsia="de-DE"/>
        </w:rPr>
        <w:t>IDA</w:t>
      </w:r>
      <w:r>
        <w:rPr>
          <w:rFonts w:ascii="Arial" w:eastAsia="Times New Roman" w:hAnsi="Arial" w:cs="Arial"/>
          <w:color w:val="000000"/>
          <w:lang w:val="en-US" w:eastAsia="de-DE"/>
        </w:rPr>
        <w:t xml:space="preserve"> S</w:t>
      </w:r>
      <w:r w:rsidRPr="00137EDA">
        <w:rPr>
          <w:rFonts w:ascii="Arial" w:eastAsia="Times New Roman" w:hAnsi="Arial" w:cs="Arial"/>
          <w:color w:val="000000"/>
          <w:lang w:val="en-US" w:eastAsia="de-DE"/>
        </w:rPr>
        <w:t>ingapore</w:t>
      </w:r>
      <w:r>
        <w:rPr>
          <w:rFonts w:ascii="Arial" w:eastAsia="Times New Roman" w:hAnsi="Arial" w:cs="Arial"/>
          <w:color w:val="000000"/>
          <w:lang w:val="en-US" w:eastAsia="de-DE"/>
        </w:rPr>
        <w:t xml:space="preserve"> in </w:t>
      </w:r>
      <w:r w:rsidRPr="00137EDA">
        <w:rPr>
          <w:rFonts w:ascii="Arial" w:eastAsia="Times New Roman" w:hAnsi="Arial" w:cs="Arial"/>
          <w:color w:val="000000"/>
          <w:lang w:val="en-US" w:eastAsia="de-DE"/>
        </w:rPr>
        <w:t>June 2014</w:t>
      </w:r>
      <w:r>
        <w:rPr>
          <w:rFonts w:ascii="Arial" w:eastAsia="Times New Roman" w:hAnsi="Arial" w:cs="Arial"/>
          <w:color w:val="000000"/>
          <w:lang w:val="en-US" w:eastAsia="de-DE"/>
        </w:rPr>
        <w:t xml:space="preserve"> regarding regulatory framework for TV</w:t>
      </w:r>
      <w:r w:rsidRPr="00137EDA">
        <w:rPr>
          <w:rFonts w:ascii="Arial" w:eastAsia="Times New Roman" w:hAnsi="Arial" w:cs="Arial"/>
          <w:color w:val="000000"/>
          <w:lang w:val="en-US" w:eastAsia="de-DE"/>
        </w:rPr>
        <w:t xml:space="preserve"> white space operations in the VHF/UHF </w:t>
      </w:r>
      <w:r>
        <w:rPr>
          <w:rFonts w:ascii="Arial" w:eastAsia="Times New Roman" w:hAnsi="Arial" w:cs="Arial"/>
          <w:color w:val="000000"/>
          <w:lang w:val="en-US" w:eastAsia="de-DE"/>
        </w:rPr>
        <w:t xml:space="preserve">bands. </w:t>
      </w:r>
      <w:r w:rsidR="00BE01D8" w:rsidRPr="00BE01D8">
        <w:rPr>
          <w:rFonts w:ascii="Arial" w:eastAsia="Times New Roman" w:hAnsi="Arial" w:cs="Arial"/>
          <w:color w:val="000000"/>
          <w:lang w:val="en-US" w:eastAsia="de-DE"/>
        </w:rPr>
        <w:t xml:space="preserve">IDA </w:t>
      </w:r>
      <w:r w:rsidR="00BE01D8">
        <w:rPr>
          <w:rFonts w:ascii="Arial" w:eastAsia="Times New Roman" w:hAnsi="Arial" w:cs="Arial"/>
          <w:color w:val="000000"/>
          <w:lang w:val="en-US" w:eastAsia="de-DE"/>
        </w:rPr>
        <w:t xml:space="preserve">is planning to </w:t>
      </w:r>
      <w:r w:rsidR="00BE01D8" w:rsidRPr="00BE01D8">
        <w:rPr>
          <w:rFonts w:ascii="Arial" w:eastAsia="Times New Roman" w:hAnsi="Arial" w:cs="Arial"/>
          <w:color w:val="000000"/>
          <w:lang w:val="en-US" w:eastAsia="de-DE"/>
        </w:rPr>
        <w:t>adopt a license-exempt approach</w:t>
      </w:r>
      <w:r w:rsidR="00BE01D8">
        <w:rPr>
          <w:rFonts w:ascii="Arial" w:eastAsia="Times New Roman" w:hAnsi="Arial" w:cs="Arial"/>
          <w:color w:val="000000"/>
          <w:lang w:val="en-US" w:eastAsia="de-DE"/>
        </w:rPr>
        <w:t>, which will</w:t>
      </w:r>
      <w:r w:rsidR="00BE01D8" w:rsidRPr="00BE01D8">
        <w:rPr>
          <w:rFonts w:ascii="Arial" w:eastAsia="Times New Roman" w:hAnsi="Arial" w:cs="Arial"/>
          <w:color w:val="000000"/>
          <w:lang w:val="en-US" w:eastAsia="de-DE"/>
        </w:rPr>
        <w:t xml:space="preserve"> allow users to explore a range of business models and encourage the adoption of the technology. </w:t>
      </w:r>
      <w:r w:rsidR="001A163C" w:rsidRPr="001A163C">
        <w:rPr>
          <w:rFonts w:ascii="Arial" w:eastAsia="Times New Roman" w:hAnsi="Arial" w:cs="Arial"/>
          <w:color w:val="000000"/>
          <w:lang w:val="en-US" w:eastAsia="de-DE"/>
        </w:rPr>
        <w:t xml:space="preserve">IDA </w:t>
      </w:r>
      <w:r w:rsidR="001A163C">
        <w:rPr>
          <w:rFonts w:ascii="Arial" w:eastAsia="Times New Roman" w:hAnsi="Arial" w:cs="Arial"/>
          <w:color w:val="000000"/>
          <w:lang w:val="en-US" w:eastAsia="de-DE"/>
        </w:rPr>
        <w:t xml:space="preserve">also </w:t>
      </w:r>
      <w:r w:rsidR="001A163C" w:rsidRPr="001A163C">
        <w:rPr>
          <w:rFonts w:ascii="Arial" w:eastAsia="Times New Roman" w:hAnsi="Arial" w:cs="Arial"/>
          <w:color w:val="000000"/>
          <w:lang w:val="en-US" w:eastAsia="de-DE"/>
        </w:rPr>
        <w:t xml:space="preserve">notes that </w:t>
      </w:r>
      <w:r w:rsidR="001A163C">
        <w:rPr>
          <w:rFonts w:ascii="Arial" w:eastAsia="Times New Roman" w:hAnsi="Arial" w:cs="Arial"/>
          <w:color w:val="000000"/>
          <w:lang w:val="en-US" w:eastAsia="de-DE"/>
        </w:rPr>
        <w:t>Licens</w:t>
      </w:r>
      <w:r w:rsidR="001A163C" w:rsidRPr="001A163C">
        <w:rPr>
          <w:rFonts w:ascii="Arial" w:eastAsia="Times New Roman" w:hAnsi="Arial" w:cs="Arial"/>
          <w:color w:val="000000"/>
          <w:lang w:val="en-US" w:eastAsia="de-DE"/>
        </w:rPr>
        <w:t xml:space="preserve">e Shared Access </w:t>
      </w:r>
      <w:r w:rsidR="001A163C">
        <w:rPr>
          <w:rFonts w:ascii="Arial" w:eastAsia="Times New Roman" w:hAnsi="Arial" w:cs="Arial"/>
          <w:color w:val="000000"/>
          <w:lang w:val="en-US" w:eastAsia="de-DE"/>
        </w:rPr>
        <w:t xml:space="preserve">(LSA) </w:t>
      </w:r>
      <w:r w:rsidR="001A163C" w:rsidRPr="001A163C">
        <w:rPr>
          <w:rFonts w:ascii="Arial" w:eastAsia="Times New Roman" w:hAnsi="Arial" w:cs="Arial"/>
          <w:color w:val="000000"/>
          <w:lang w:val="en-US" w:eastAsia="de-DE"/>
        </w:rPr>
        <w:t xml:space="preserve">concept is still being </w:t>
      </w:r>
      <w:proofErr w:type="gramStart"/>
      <w:r w:rsidR="001A163C" w:rsidRPr="001A163C">
        <w:rPr>
          <w:rFonts w:ascii="Arial" w:eastAsia="Times New Roman" w:hAnsi="Arial" w:cs="Arial"/>
          <w:color w:val="000000"/>
          <w:lang w:val="en-US" w:eastAsia="de-DE"/>
        </w:rPr>
        <w:t>developed,</w:t>
      </w:r>
      <w:proofErr w:type="gramEnd"/>
      <w:r w:rsidR="001A163C" w:rsidRPr="001A163C">
        <w:rPr>
          <w:rFonts w:ascii="Arial" w:eastAsia="Times New Roman" w:hAnsi="Arial" w:cs="Arial"/>
          <w:color w:val="000000"/>
          <w:lang w:val="en-US" w:eastAsia="de-DE"/>
        </w:rPr>
        <w:t xml:space="preserve"> requires further study and is not ready for adoption.</w:t>
      </w:r>
    </w:p>
    <w:p w:rsidR="00137EDA" w:rsidRPr="00BE01D8" w:rsidRDefault="00BE01D8" w:rsidP="001A163C">
      <w:pPr>
        <w:spacing w:after="120" w:line="240" w:lineRule="auto"/>
        <w:rPr>
          <w:rFonts w:ascii="Arial" w:eastAsia="Times New Roman" w:hAnsi="Arial" w:cs="Arial"/>
          <w:color w:val="000000"/>
          <w:lang w:val="en-GB" w:eastAsia="de-DE"/>
        </w:rPr>
      </w:pPr>
      <w:r w:rsidRPr="00BE01D8">
        <w:rPr>
          <w:rFonts w:ascii="Arial" w:eastAsia="Times New Roman" w:hAnsi="Arial" w:cs="Arial"/>
          <w:color w:val="000000"/>
          <w:lang w:val="en-US" w:eastAsia="de-DE"/>
        </w:rPr>
        <w:t>IDA will adopt the Geo-location Database approach as the mandated method f</w:t>
      </w:r>
      <w:r>
        <w:rPr>
          <w:rFonts w:ascii="Arial" w:eastAsia="Times New Roman" w:hAnsi="Arial" w:cs="Arial"/>
          <w:color w:val="000000"/>
          <w:lang w:val="en-US" w:eastAsia="de-DE"/>
        </w:rPr>
        <w:t xml:space="preserve">or WSDs to access TVWS spectrum as sensing technology did not reach mature stage and has not been mandated for adoption </w:t>
      </w:r>
      <w:r w:rsidRPr="00BE01D8">
        <w:rPr>
          <w:rFonts w:ascii="Arial" w:eastAsia="Times New Roman" w:hAnsi="Arial" w:cs="Arial"/>
          <w:color w:val="000000"/>
          <w:lang w:val="en-US" w:eastAsia="de-DE"/>
        </w:rPr>
        <w:t>in any overseas jurisdictions</w:t>
      </w:r>
      <w:r>
        <w:rPr>
          <w:rFonts w:ascii="Arial" w:eastAsia="Times New Roman" w:hAnsi="Arial" w:cs="Arial"/>
          <w:color w:val="000000"/>
          <w:lang w:val="en-US" w:eastAsia="de-DE"/>
        </w:rPr>
        <w:t xml:space="preserve">. </w:t>
      </w:r>
      <w:r w:rsidR="00727704">
        <w:rPr>
          <w:rFonts w:ascii="Arial" w:eastAsia="Times New Roman" w:hAnsi="Arial" w:cs="Arial"/>
          <w:color w:val="000000"/>
          <w:lang w:val="en-US" w:eastAsia="de-DE"/>
        </w:rPr>
        <w:t xml:space="preserve">Text of the decision paper can be downloaded </w:t>
      </w:r>
      <w:hyperlink r:id="rId12" w:history="1">
        <w:r w:rsidR="00727704" w:rsidRPr="00C00615">
          <w:rPr>
            <w:rStyle w:val="Hyperlink"/>
            <w:rFonts w:ascii="Arial" w:eastAsia="Times New Roman" w:hAnsi="Arial" w:cs="Arial"/>
            <w:lang w:val="en-US" w:eastAsia="de-DE"/>
          </w:rPr>
          <w:t>here</w:t>
        </w:r>
      </w:hyperlink>
      <w:r w:rsidR="00727704">
        <w:rPr>
          <w:rFonts w:ascii="Arial" w:eastAsia="Times New Roman" w:hAnsi="Arial" w:cs="Arial"/>
          <w:color w:val="000000"/>
          <w:lang w:val="en-US" w:eastAsia="de-DE"/>
        </w:rPr>
        <w:t xml:space="preserve">. </w:t>
      </w:r>
    </w:p>
    <w:p w:rsidR="00DC17EC" w:rsidRDefault="009E7FB9" w:rsidP="001A163C">
      <w:pPr>
        <w:spacing w:after="12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The draft s</w:t>
      </w:r>
      <w:r w:rsidR="00DC17EC" w:rsidRPr="00DC17EC">
        <w:rPr>
          <w:rFonts w:ascii="Arial" w:eastAsia="Times New Roman" w:hAnsi="Arial" w:cs="Arial"/>
          <w:color w:val="000000"/>
          <w:lang w:val="en-US" w:eastAsia="de-DE"/>
        </w:rPr>
        <w:t xml:space="preserve">pecification </w:t>
      </w:r>
      <w:r>
        <w:rPr>
          <w:rFonts w:ascii="Arial" w:eastAsia="Times New Roman" w:hAnsi="Arial" w:cs="Arial"/>
          <w:color w:val="000000"/>
          <w:lang w:val="en-US" w:eastAsia="de-DE"/>
        </w:rPr>
        <w:t xml:space="preserve">was developed and published by </w:t>
      </w:r>
      <w:r w:rsidRPr="009E7FB9">
        <w:rPr>
          <w:rFonts w:ascii="Arial" w:eastAsia="Times New Roman" w:hAnsi="Arial" w:cs="Arial"/>
          <w:color w:val="000000"/>
          <w:lang w:val="en-US" w:eastAsia="de-DE"/>
        </w:rPr>
        <w:t>IDA</w:t>
      </w:r>
      <w:r>
        <w:rPr>
          <w:rFonts w:ascii="Arial" w:eastAsia="Times New Roman" w:hAnsi="Arial" w:cs="Arial"/>
          <w:color w:val="000000"/>
          <w:lang w:val="en-US" w:eastAsia="de-DE"/>
        </w:rPr>
        <w:t xml:space="preserve"> in March 2015. Document</w:t>
      </w:r>
      <w:r w:rsidRPr="009E7FB9">
        <w:rPr>
          <w:rFonts w:ascii="Arial" w:eastAsia="Times New Roman" w:hAnsi="Arial" w:cs="Arial"/>
          <w:color w:val="000000"/>
          <w:lang w:val="en-US" w:eastAsia="de-DE"/>
        </w:rPr>
        <w:t xml:space="preserve"> </w:t>
      </w:r>
      <w:r w:rsidR="00DC17EC" w:rsidRPr="00DC17EC">
        <w:rPr>
          <w:rFonts w:ascii="Arial" w:eastAsia="Times New Roman" w:hAnsi="Arial" w:cs="Arial"/>
          <w:color w:val="000000"/>
          <w:lang w:val="en-US" w:eastAsia="de-DE"/>
        </w:rPr>
        <w:t>defines the technical requirements of Television (“TV”) Band or White Space</w:t>
      </w:r>
      <w:r>
        <w:rPr>
          <w:rFonts w:ascii="Arial" w:eastAsia="Times New Roman" w:hAnsi="Arial" w:cs="Arial"/>
          <w:color w:val="000000"/>
          <w:lang w:val="en-US" w:eastAsia="de-DE"/>
        </w:rPr>
        <w:t xml:space="preserve"> </w:t>
      </w:r>
      <w:r w:rsidR="00DC17EC" w:rsidRPr="00DC17EC">
        <w:rPr>
          <w:rFonts w:ascii="Arial" w:eastAsia="Times New Roman" w:hAnsi="Arial" w:cs="Arial"/>
          <w:color w:val="000000"/>
          <w:lang w:val="en-US" w:eastAsia="de-DE"/>
        </w:rPr>
        <w:t>Devices (“WSD”) that may be permitted to operate on any available TV channels of the broadcast TV</w:t>
      </w:r>
      <w:r>
        <w:rPr>
          <w:rFonts w:ascii="Arial" w:eastAsia="Times New Roman" w:hAnsi="Arial" w:cs="Arial"/>
          <w:color w:val="000000"/>
          <w:lang w:val="en-US" w:eastAsia="de-DE"/>
        </w:rPr>
        <w:t xml:space="preserve"> </w:t>
      </w:r>
      <w:r w:rsidR="00DC17EC" w:rsidRPr="00DC17EC">
        <w:rPr>
          <w:rFonts w:ascii="Arial" w:eastAsia="Times New Roman" w:hAnsi="Arial" w:cs="Arial"/>
          <w:color w:val="000000"/>
          <w:lang w:val="en-US" w:eastAsia="de-DE"/>
        </w:rPr>
        <w:t xml:space="preserve">frequency bands </w:t>
      </w:r>
      <w:r>
        <w:rPr>
          <w:rFonts w:ascii="Arial" w:eastAsia="Times New Roman" w:hAnsi="Arial" w:cs="Arial"/>
          <w:color w:val="000000"/>
          <w:lang w:val="en-US" w:eastAsia="de-DE"/>
        </w:rPr>
        <w:t>specified in the document. The</w:t>
      </w:r>
      <w:r w:rsidR="00DC17EC" w:rsidRPr="00DC17EC">
        <w:rPr>
          <w:rFonts w:ascii="Arial" w:eastAsia="Times New Roman" w:hAnsi="Arial" w:cs="Arial"/>
          <w:color w:val="000000"/>
          <w:lang w:val="en-US" w:eastAsia="de-DE"/>
        </w:rPr>
        <w:t xml:space="preserve"> </w:t>
      </w:r>
      <w:r>
        <w:rPr>
          <w:rFonts w:ascii="Arial" w:eastAsia="Times New Roman" w:hAnsi="Arial" w:cs="Arial"/>
          <w:color w:val="000000"/>
          <w:lang w:val="en-US" w:eastAsia="de-DE"/>
        </w:rPr>
        <w:t>s</w:t>
      </w:r>
      <w:r w:rsidR="00DC17EC" w:rsidRPr="00DC17EC">
        <w:rPr>
          <w:rFonts w:ascii="Arial" w:eastAsia="Times New Roman" w:hAnsi="Arial" w:cs="Arial"/>
          <w:color w:val="000000"/>
          <w:lang w:val="en-US" w:eastAsia="de-DE"/>
        </w:rPr>
        <w:t>pecification is applicable to the following types of radio equipment:</w:t>
      </w:r>
      <w:r>
        <w:rPr>
          <w:rFonts w:ascii="Arial" w:eastAsia="Times New Roman" w:hAnsi="Arial" w:cs="Arial"/>
          <w:color w:val="000000"/>
          <w:lang w:val="en-US" w:eastAsia="de-DE"/>
        </w:rPr>
        <w:t xml:space="preserve"> </w:t>
      </w:r>
      <w:r w:rsidRPr="009E7FB9">
        <w:rPr>
          <w:rFonts w:ascii="Arial" w:eastAsia="Times New Roman" w:hAnsi="Arial" w:cs="Arial"/>
          <w:color w:val="000000"/>
          <w:lang w:val="en-US" w:eastAsia="de-DE"/>
        </w:rPr>
        <w:t>fixed WSD</w:t>
      </w:r>
      <w:r>
        <w:rPr>
          <w:rFonts w:ascii="Arial" w:eastAsia="Times New Roman" w:hAnsi="Arial" w:cs="Arial"/>
          <w:color w:val="000000"/>
          <w:lang w:val="en-US" w:eastAsia="de-DE"/>
        </w:rPr>
        <w:t>,</w:t>
      </w:r>
      <w:r w:rsidRPr="009E7FB9">
        <w:rPr>
          <w:rFonts w:ascii="Arial" w:eastAsia="Times New Roman" w:hAnsi="Arial" w:cs="Arial"/>
          <w:color w:val="000000"/>
          <w:lang w:val="en-US" w:eastAsia="de-DE"/>
        </w:rPr>
        <w:t xml:space="preserve"> which may be a master WSD</w:t>
      </w:r>
      <w:r>
        <w:rPr>
          <w:rFonts w:ascii="Arial" w:eastAsia="Times New Roman" w:hAnsi="Arial" w:cs="Arial"/>
          <w:color w:val="000000"/>
          <w:lang w:val="en-US" w:eastAsia="de-DE"/>
        </w:rPr>
        <w:t xml:space="preserve">; a </w:t>
      </w:r>
      <w:r w:rsidRPr="009E7FB9">
        <w:rPr>
          <w:rFonts w:ascii="Arial" w:eastAsia="Times New Roman" w:hAnsi="Arial" w:cs="Arial"/>
          <w:color w:val="000000"/>
          <w:lang w:val="en-US" w:eastAsia="de-DE"/>
        </w:rPr>
        <w:t>personal/portable WSD, which may also be a master WSD</w:t>
      </w:r>
      <w:r>
        <w:rPr>
          <w:rFonts w:ascii="Arial" w:eastAsia="Times New Roman" w:hAnsi="Arial" w:cs="Arial"/>
          <w:color w:val="000000"/>
          <w:lang w:val="en-US" w:eastAsia="de-DE"/>
        </w:rPr>
        <w:t>; a</w:t>
      </w:r>
      <w:r w:rsidRPr="009E7FB9">
        <w:rPr>
          <w:rFonts w:ascii="Arial" w:eastAsia="Times New Roman" w:hAnsi="Arial" w:cs="Arial"/>
          <w:color w:val="000000"/>
          <w:lang w:val="en-US" w:eastAsia="de-DE"/>
        </w:rPr>
        <w:t xml:space="preserve"> personal/portable mode I WSD</w:t>
      </w:r>
      <w:r>
        <w:rPr>
          <w:rFonts w:ascii="Arial" w:eastAsia="Times New Roman" w:hAnsi="Arial" w:cs="Arial"/>
          <w:color w:val="000000"/>
          <w:lang w:val="en-US" w:eastAsia="de-DE"/>
        </w:rPr>
        <w:t xml:space="preserve">, which </w:t>
      </w:r>
      <w:r w:rsidRPr="009E7FB9">
        <w:rPr>
          <w:rFonts w:ascii="Arial" w:eastAsia="Times New Roman" w:hAnsi="Arial" w:cs="Arial"/>
          <w:color w:val="000000"/>
          <w:lang w:val="en-US" w:eastAsia="de-DE"/>
        </w:rPr>
        <w:t>is a client WSD</w:t>
      </w:r>
      <w:r>
        <w:rPr>
          <w:rFonts w:ascii="Arial" w:eastAsia="Times New Roman" w:hAnsi="Arial" w:cs="Arial"/>
          <w:color w:val="000000"/>
          <w:lang w:val="en-US" w:eastAsia="de-DE"/>
        </w:rPr>
        <w:t xml:space="preserve">. </w:t>
      </w:r>
      <w:r w:rsidR="00ED17D8">
        <w:rPr>
          <w:rFonts w:ascii="Arial" w:eastAsia="Times New Roman" w:hAnsi="Arial" w:cs="Arial"/>
          <w:color w:val="000000"/>
          <w:lang w:val="en-US" w:eastAsia="de-DE"/>
        </w:rPr>
        <w:t xml:space="preserve">Document also defines technical and operations requirements for the allowed type of equipment. </w:t>
      </w:r>
      <w:r w:rsidR="00A543AA">
        <w:rPr>
          <w:rFonts w:ascii="Arial" w:eastAsia="Times New Roman" w:hAnsi="Arial" w:cs="Arial"/>
          <w:color w:val="000000"/>
          <w:lang w:val="en-US" w:eastAsia="de-DE"/>
        </w:rPr>
        <w:t xml:space="preserve">IDA </w:t>
      </w:r>
      <w:proofErr w:type="spellStart"/>
      <w:r w:rsidR="00A543AA">
        <w:rPr>
          <w:rFonts w:ascii="Arial" w:eastAsia="Times New Roman" w:hAnsi="Arial" w:cs="Arial"/>
          <w:color w:val="000000"/>
          <w:lang w:val="en-US" w:eastAsia="de-DE"/>
        </w:rPr>
        <w:t>recognises</w:t>
      </w:r>
      <w:proofErr w:type="spellEnd"/>
      <w:r w:rsidR="00A543AA">
        <w:rPr>
          <w:rFonts w:ascii="Arial" w:eastAsia="Times New Roman" w:hAnsi="Arial" w:cs="Arial"/>
          <w:color w:val="000000"/>
          <w:lang w:val="en-US" w:eastAsia="de-DE"/>
        </w:rPr>
        <w:t xml:space="preserve"> that the geo-location database is the only reliable approach to allow operation of WSD devices, therefore g</w:t>
      </w:r>
      <w:r w:rsidR="00A543AA" w:rsidRPr="00A543AA">
        <w:rPr>
          <w:rFonts w:ascii="Arial" w:eastAsia="Times New Roman" w:hAnsi="Arial" w:cs="Arial"/>
          <w:color w:val="000000"/>
          <w:lang w:val="en-US" w:eastAsia="de-DE"/>
        </w:rPr>
        <w:t>eo-location Database Interface Requirements</w:t>
      </w:r>
      <w:r w:rsidR="00ED17D8">
        <w:rPr>
          <w:rFonts w:ascii="Arial" w:eastAsia="Times New Roman" w:hAnsi="Arial" w:cs="Arial"/>
          <w:color w:val="000000"/>
          <w:lang w:val="en-US" w:eastAsia="de-DE"/>
        </w:rPr>
        <w:t xml:space="preserve"> </w:t>
      </w:r>
      <w:r w:rsidR="00A543AA">
        <w:rPr>
          <w:rFonts w:ascii="Arial" w:eastAsia="Times New Roman" w:hAnsi="Arial" w:cs="Arial"/>
          <w:color w:val="000000"/>
          <w:lang w:val="en-US" w:eastAsia="de-DE"/>
        </w:rPr>
        <w:t xml:space="preserve">are defined in the specification. </w:t>
      </w:r>
    </w:p>
    <w:p w:rsidR="006D244B" w:rsidRDefault="00DC17EC" w:rsidP="001A163C">
      <w:pPr>
        <w:spacing w:after="120" w:line="240" w:lineRule="auto"/>
        <w:rPr>
          <w:rFonts w:ascii="Arial" w:eastAsia="Times New Roman" w:hAnsi="Arial" w:cs="Arial"/>
          <w:color w:val="000000"/>
          <w:lang w:val="en-US" w:eastAsia="de-DE"/>
        </w:rPr>
      </w:pPr>
      <w:r>
        <w:rPr>
          <w:rFonts w:ascii="Arial" w:eastAsia="Times New Roman" w:hAnsi="Arial" w:cs="Arial"/>
          <w:color w:val="000000"/>
          <w:lang w:val="en-US" w:eastAsia="de-DE"/>
        </w:rPr>
        <w:t>Draft technical s</w:t>
      </w:r>
      <w:r w:rsidR="006D244B" w:rsidRPr="006D244B">
        <w:rPr>
          <w:rFonts w:ascii="Arial" w:eastAsia="Times New Roman" w:hAnsi="Arial" w:cs="Arial"/>
          <w:color w:val="000000"/>
          <w:lang w:val="en-US" w:eastAsia="de-DE"/>
        </w:rPr>
        <w:t>pecification for</w:t>
      </w:r>
      <w:r w:rsidR="006D244B">
        <w:rPr>
          <w:rFonts w:ascii="Arial" w:eastAsia="Times New Roman" w:hAnsi="Arial" w:cs="Arial"/>
          <w:color w:val="000000"/>
          <w:lang w:val="en-US" w:eastAsia="de-DE"/>
        </w:rPr>
        <w:t xml:space="preserve"> </w:t>
      </w:r>
      <w:r w:rsidR="006D244B" w:rsidRPr="006D244B">
        <w:rPr>
          <w:rFonts w:ascii="Arial" w:eastAsia="Times New Roman" w:hAnsi="Arial" w:cs="Arial"/>
          <w:color w:val="000000"/>
          <w:lang w:val="en-US" w:eastAsia="de-DE"/>
        </w:rPr>
        <w:t>Television White Space Devices</w:t>
      </w:r>
      <w:r w:rsidR="006D244B">
        <w:rPr>
          <w:rFonts w:ascii="Arial" w:eastAsia="Times New Roman" w:hAnsi="Arial" w:cs="Arial"/>
          <w:color w:val="000000"/>
          <w:lang w:val="en-US" w:eastAsia="de-DE"/>
        </w:rPr>
        <w:t xml:space="preserve"> allowed for the operation in Singapore can be </w:t>
      </w:r>
      <w:proofErr w:type="gramStart"/>
      <w:r w:rsidR="006D244B" w:rsidRPr="00C00615">
        <w:rPr>
          <w:rFonts w:ascii="Arial" w:eastAsia="Times New Roman" w:hAnsi="Arial" w:cs="Arial"/>
          <w:color w:val="000000"/>
          <w:lang w:val="en-US" w:eastAsia="de-DE"/>
        </w:rPr>
        <w:t>download</w:t>
      </w:r>
      <w:r w:rsidR="00C00615">
        <w:rPr>
          <w:rFonts w:ascii="Arial" w:eastAsia="Times New Roman" w:hAnsi="Arial" w:cs="Arial"/>
          <w:color w:val="000000"/>
          <w:lang w:val="en-US" w:eastAsia="de-DE"/>
        </w:rPr>
        <w:t xml:space="preserve">ed </w:t>
      </w:r>
      <w:r w:rsidR="006D244B" w:rsidRPr="00C00615">
        <w:rPr>
          <w:rFonts w:ascii="Arial" w:eastAsia="Times New Roman" w:hAnsi="Arial" w:cs="Arial"/>
          <w:color w:val="000000"/>
          <w:lang w:val="en-US" w:eastAsia="de-DE"/>
        </w:rPr>
        <w:t xml:space="preserve"> </w:t>
      </w:r>
      <w:proofErr w:type="gramEnd"/>
      <w:r w:rsidR="00F253DC" w:rsidRPr="00C00615">
        <w:fldChar w:fldCharType="begin"/>
      </w:r>
      <w:r w:rsidR="00A94E12" w:rsidRPr="00A94E12">
        <w:rPr>
          <w:lang w:val="en-GB"/>
        </w:rPr>
        <w:instrText>HYPERLINK "http://www.cept.org/files/1051/Topics/Geolocation/Draft_TS_WSD_30March2015.pdf"</w:instrText>
      </w:r>
      <w:r w:rsidR="00F253DC" w:rsidRPr="00C00615">
        <w:fldChar w:fldCharType="separate"/>
      </w:r>
      <w:r w:rsidR="006D244B" w:rsidRPr="00C00615">
        <w:rPr>
          <w:rStyle w:val="Hyperlink"/>
          <w:rFonts w:ascii="Arial" w:eastAsia="Times New Roman" w:hAnsi="Arial" w:cs="Arial"/>
          <w:lang w:val="en-US" w:eastAsia="de-DE"/>
        </w:rPr>
        <w:t>here</w:t>
      </w:r>
      <w:r w:rsidR="00F253DC" w:rsidRPr="00C00615">
        <w:rPr>
          <w:rStyle w:val="Hyperlink"/>
          <w:rFonts w:ascii="Arial" w:eastAsia="Times New Roman" w:hAnsi="Arial" w:cs="Arial"/>
          <w:lang w:val="en-US" w:eastAsia="de-DE"/>
        </w:rPr>
        <w:fldChar w:fldCharType="end"/>
      </w:r>
      <w:bookmarkStart w:id="0" w:name="_GoBack"/>
      <w:bookmarkEnd w:id="0"/>
      <w:r w:rsidR="006D244B" w:rsidRPr="00C00615">
        <w:rPr>
          <w:rFonts w:ascii="Arial" w:eastAsia="Times New Roman" w:hAnsi="Arial" w:cs="Arial"/>
          <w:color w:val="000000"/>
          <w:lang w:val="en-US" w:eastAsia="de-DE"/>
        </w:rPr>
        <w:t>.</w:t>
      </w:r>
      <w:r w:rsidR="006D244B">
        <w:rPr>
          <w:rFonts w:ascii="Arial" w:eastAsia="Times New Roman" w:hAnsi="Arial" w:cs="Arial"/>
          <w:color w:val="000000"/>
          <w:lang w:val="en-US" w:eastAsia="de-DE"/>
        </w:rPr>
        <w:t xml:space="preserve"> </w:t>
      </w:r>
    </w:p>
    <w:p w:rsidR="006D244B" w:rsidRDefault="006D244B" w:rsidP="006D244B">
      <w:pPr>
        <w:spacing w:after="0" w:line="240" w:lineRule="auto"/>
        <w:rPr>
          <w:rFonts w:ascii="Arial" w:eastAsia="Times New Roman" w:hAnsi="Arial" w:cs="Arial"/>
          <w:color w:val="000000"/>
          <w:lang w:val="en-US" w:eastAsia="de-DE"/>
        </w:rPr>
      </w:pPr>
    </w:p>
    <w:p w:rsidR="003B070B" w:rsidRPr="0075572D" w:rsidRDefault="003B070B" w:rsidP="003B070B">
      <w:pPr>
        <w:spacing w:after="0" w:line="240" w:lineRule="auto"/>
        <w:rPr>
          <w:rFonts w:ascii="Arial" w:eastAsia="Times New Roman" w:hAnsi="Arial" w:cs="Arial"/>
          <w:lang w:val="en" w:eastAsia="da-DK"/>
        </w:rPr>
      </w:pPr>
    </w:p>
    <w:p w:rsidR="00DF3663" w:rsidRPr="006D244B" w:rsidRDefault="00B527E0" w:rsidP="006D244B">
      <w:pPr>
        <w:pStyle w:val="ListParagraph"/>
        <w:numPr>
          <w:ilvl w:val="0"/>
          <w:numId w:val="20"/>
        </w:numPr>
        <w:rPr>
          <w:rFonts w:ascii="Arial" w:hAnsi="Arial" w:cs="Arial"/>
          <w:b/>
          <w:lang w:val="en-GB"/>
        </w:rPr>
      </w:pPr>
      <w:r w:rsidRPr="00847933">
        <w:rPr>
          <w:rFonts w:ascii="Arial" w:hAnsi="Arial" w:cs="Arial"/>
          <w:b/>
          <w:lang w:val="en-GB"/>
        </w:rPr>
        <w:t xml:space="preserve">Canada’s Approach to TV White </w:t>
      </w:r>
      <w:r w:rsidRPr="006D244B">
        <w:rPr>
          <w:rFonts w:ascii="Arial" w:hAnsi="Arial" w:cs="Arial"/>
          <w:b/>
          <w:lang w:val="en-GB"/>
        </w:rPr>
        <w:t>Space</w:t>
      </w:r>
      <w:r w:rsidR="00CD7DD0" w:rsidRPr="006D244B">
        <w:rPr>
          <w:rFonts w:ascii="Arial" w:hAnsi="Arial" w:cs="Arial"/>
          <w:b/>
          <w:lang w:val="en-GB"/>
        </w:rPr>
        <w:t xml:space="preserve"> (status on February 2015)</w:t>
      </w:r>
    </w:p>
    <w:p w:rsidR="00EB591B" w:rsidRPr="00847933" w:rsidRDefault="00EB591B" w:rsidP="00847933">
      <w:pPr>
        <w:spacing w:after="120" w:line="240" w:lineRule="auto"/>
        <w:rPr>
          <w:rFonts w:ascii="Arial" w:hAnsi="Arial" w:cs="Arial"/>
          <w:lang w:val="en-US"/>
        </w:rPr>
      </w:pPr>
      <w:r w:rsidRPr="00847933">
        <w:rPr>
          <w:rFonts w:ascii="Arial" w:hAnsi="Arial" w:cs="Arial"/>
          <w:lang w:val="en-US"/>
        </w:rPr>
        <w:t xml:space="preserve">Policy decision </w:t>
      </w:r>
      <w:r w:rsidR="00847933">
        <w:rPr>
          <w:rFonts w:ascii="Arial" w:hAnsi="Arial" w:cs="Arial"/>
          <w:lang w:val="en-US"/>
        </w:rPr>
        <w:t xml:space="preserve">was </w:t>
      </w:r>
      <w:r w:rsidRPr="00847933">
        <w:rPr>
          <w:rFonts w:ascii="Arial" w:hAnsi="Arial" w:cs="Arial"/>
          <w:lang w:val="en-US"/>
        </w:rPr>
        <w:t xml:space="preserve">released </w:t>
      </w:r>
      <w:r w:rsidR="00847933">
        <w:rPr>
          <w:rFonts w:ascii="Arial" w:hAnsi="Arial" w:cs="Arial"/>
          <w:lang w:val="en-US"/>
        </w:rPr>
        <w:t>in October 2012</w:t>
      </w:r>
      <w:r w:rsidR="00847933" w:rsidRPr="00847933">
        <w:rPr>
          <w:rFonts w:ascii="Arial" w:hAnsi="Arial" w:cs="Arial"/>
          <w:lang w:val="en-US"/>
        </w:rPr>
        <w:t xml:space="preserve"> with i</w:t>
      </w:r>
      <w:r w:rsidRPr="00847933">
        <w:rPr>
          <w:rFonts w:ascii="Arial" w:hAnsi="Arial" w:cs="Arial"/>
          <w:lang w:val="en-US"/>
        </w:rPr>
        <w:t>nitial focus o</w:t>
      </w:r>
      <w:r w:rsidR="00847933">
        <w:rPr>
          <w:rFonts w:ascii="Arial" w:hAnsi="Arial" w:cs="Arial"/>
          <w:lang w:val="en-US"/>
        </w:rPr>
        <w:t xml:space="preserve">n geo-location database concept. Following conditions should be applied: </w:t>
      </w:r>
    </w:p>
    <w:p w:rsidR="00EB591B" w:rsidRPr="00EB591B" w:rsidRDefault="00EB591B" w:rsidP="00EB591B">
      <w:pPr>
        <w:pStyle w:val="ListParagraph"/>
        <w:numPr>
          <w:ilvl w:val="0"/>
          <w:numId w:val="9"/>
        </w:numPr>
        <w:spacing w:after="120" w:line="240" w:lineRule="auto"/>
        <w:rPr>
          <w:rFonts w:ascii="Arial" w:hAnsi="Arial" w:cs="Arial"/>
          <w:lang w:val="en-US"/>
        </w:rPr>
      </w:pPr>
      <w:r w:rsidRPr="00EB591B">
        <w:rPr>
          <w:rFonts w:ascii="Arial" w:hAnsi="Arial" w:cs="Arial"/>
          <w:lang w:val="en-US"/>
        </w:rPr>
        <w:t>TVWS devices permitted on a no-protection, no interference basis to licensed users in the band;</w:t>
      </w:r>
    </w:p>
    <w:p w:rsidR="00EB591B" w:rsidRPr="00EB591B" w:rsidRDefault="00EB591B" w:rsidP="00EB591B">
      <w:pPr>
        <w:pStyle w:val="ListParagraph"/>
        <w:numPr>
          <w:ilvl w:val="0"/>
          <w:numId w:val="9"/>
        </w:numPr>
        <w:spacing w:after="120" w:line="240" w:lineRule="auto"/>
        <w:rPr>
          <w:rFonts w:ascii="Arial" w:hAnsi="Arial" w:cs="Arial"/>
          <w:lang w:val="en-US"/>
        </w:rPr>
      </w:pPr>
      <w:r w:rsidRPr="00EB591B">
        <w:rPr>
          <w:rFonts w:ascii="Arial" w:hAnsi="Arial" w:cs="Arial"/>
          <w:lang w:val="en-US"/>
        </w:rPr>
        <w:t xml:space="preserve">LPA users require a </w:t>
      </w:r>
      <w:r w:rsidR="000F746A" w:rsidRPr="00EB591B">
        <w:rPr>
          <w:rFonts w:ascii="Arial" w:hAnsi="Arial" w:cs="Arial"/>
          <w:lang w:val="en-US"/>
        </w:rPr>
        <w:t>license</w:t>
      </w:r>
      <w:r w:rsidRPr="00EB591B">
        <w:rPr>
          <w:rFonts w:ascii="Arial" w:hAnsi="Arial" w:cs="Arial"/>
          <w:lang w:val="en-US"/>
        </w:rPr>
        <w:t xml:space="preserve"> to receive protection from TVWS devices;</w:t>
      </w:r>
    </w:p>
    <w:p w:rsidR="00EB591B" w:rsidRPr="00EB591B" w:rsidRDefault="00EB591B" w:rsidP="00EB591B">
      <w:pPr>
        <w:pStyle w:val="ListParagraph"/>
        <w:numPr>
          <w:ilvl w:val="0"/>
          <w:numId w:val="9"/>
        </w:numPr>
        <w:spacing w:after="120" w:line="240" w:lineRule="auto"/>
        <w:rPr>
          <w:rFonts w:ascii="Arial" w:hAnsi="Arial" w:cs="Arial"/>
          <w:lang w:val="en-US"/>
        </w:rPr>
      </w:pPr>
      <w:r w:rsidRPr="00EB591B">
        <w:rPr>
          <w:rFonts w:ascii="Arial" w:hAnsi="Arial" w:cs="Arial"/>
          <w:lang w:val="en-US"/>
        </w:rPr>
        <w:t>No limits on number of database administrators;</w:t>
      </w:r>
    </w:p>
    <w:p w:rsidR="00EB591B" w:rsidRPr="00EB591B" w:rsidRDefault="00EB591B" w:rsidP="00EB591B">
      <w:pPr>
        <w:pStyle w:val="ListParagraph"/>
        <w:numPr>
          <w:ilvl w:val="0"/>
          <w:numId w:val="9"/>
        </w:numPr>
        <w:spacing w:after="120" w:line="240" w:lineRule="auto"/>
        <w:rPr>
          <w:rFonts w:ascii="Arial" w:hAnsi="Arial" w:cs="Arial"/>
          <w:lang w:val="en-US"/>
        </w:rPr>
      </w:pPr>
      <w:r w:rsidRPr="00EB591B">
        <w:rPr>
          <w:rFonts w:ascii="Arial" w:hAnsi="Arial" w:cs="Arial"/>
          <w:lang w:val="en-US"/>
        </w:rPr>
        <w:t>Spectrum sensing is permitted by policy but initial implementation of rules will focus on a geo-location database;</w:t>
      </w:r>
    </w:p>
    <w:p w:rsidR="0075572D" w:rsidRDefault="000F746A" w:rsidP="00EB591B">
      <w:pPr>
        <w:pStyle w:val="ListParagraph"/>
        <w:numPr>
          <w:ilvl w:val="0"/>
          <w:numId w:val="9"/>
        </w:numPr>
        <w:spacing w:after="120" w:line="240" w:lineRule="auto"/>
        <w:rPr>
          <w:rFonts w:ascii="Arial" w:hAnsi="Arial" w:cs="Arial"/>
          <w:lang w:val="en-US"/>
        </w:rPr>
      </w:pPr>
      <w:r w:rsidRPr="00EB591B">
        <w:rPr>
          <w:rFonts w:ascii="Arial" w:hAnsi="Arial" w:cs="Arial"/>
          <w:lang w:val="en-US"/>
        </w:rPr>
        <w:t>License</w:t>
      </w:r>
      <w:r w:rsidR="00EB591B" w:rsidRPr="00EB591B">
        <w:rPr>
          <w:rFonts w:ascii="Arial" w:hAnsi="Arial" w:cs="Arial"/>
          <w:lang w:val="en-US"/>
        </w:rPr>
        <w:t>-exempt TVWS devices will require certification</w:t>
      </w:r>
      <w:r w:rsidR="00AB45F3">
        <w:rPr>
          <w:rFonts w:ascii="Arial" w:hAnsi="Arial" w:cs="Arial"/>
          <w:lang w:val="en-US"/>
        </w:rPr>
        <w:t>.</w:t>
      </w:r>
    </w:p>
    <w:p w:rsidR="009412B4" w:rsidRDefault="009412B4" w:rsidP="009412B4">
      <w:pPr>
        <w:spacing w:after="120" w:line="240" w:lineRule="auto"/>
        <w:ind w:left="720"/>
        <w:rPr>
          <w:rFonts w:ascii="Arial" w:hAnsi="Arial" w:cs="Arial"/>
          <w:lang w:val="en-GB"/>
        </w:rPr>
      </w:pPr>
    </w:p>
    <w:p w:rsidR="009412B4" w:rsidRPr="00847933" w:rsidRDefault="009412B4" w:rsidP="009412B4">
      <w:pPr>
        <w:pStyle w:val="ListParagraph"/>
        <w:numPr>
          <w:ilvl w:val="1"/>
          <w:numId w:val="29"/>
        </w:numPr>
        <w:ind w:hanging="294"/>
        <w:rPr>
          <w:rFonts w:ascii="Arial" w:hAnsi="Arial" w:cs="Arial"/>
          <w:b/>
          <w:lang w:val="en-GB"/>
        </w:rPr>
      </w:pPr>
      <w:r w:rsidRPr="00847933">
        <w:rPr>
          <w:rFonts w:ascii="Arial" w:hAnsi="Arial" w:cs="Arial"/>
          <w:b/>
          <w:lang w:val="en-GB"/>
        </w:rPr>
        <w:t>Industry Canada's Radio Standards Specifications RSS-222</w:t>
      </w:r>
      <w:r w:rsidR="003F37B9">
        <w:rPr>
          <w:rFonts w:ascii="Arial" w:hAnsi="Arial" w:cs="Arial"/>
          <w:b/>
          <w:lang w:val="en-GB"/>
        </w:rPr>
        <w:t xml:space="preserve"> </w:t>
      </w:r>
    </w:p>
    <w:p w:rsidR="009412B4" w:rsidRDefault="009412B4" w:rsidP="009412B4">
      <w:pPr>
        <w:spacing w:after="120" w:line="240" w:lineRule="auto"/>
        <w:rPr>
          <w:rFonts w:ascii="Arial" w:hAnsi="Arial" w:cs="Arial"/>
          <w:lang w:val="en-GB"/>
        </w:rPr>
      </w:pPr>
      <w:r>
        <w:rPr>
          <w:rFonts w:ascii="Arial" w:hAnsi="Arial" w:cs="Arial"/>
          <w:lang w:val="en-GB"/>
        </w:rPr>
        <w:t xml:space="preserve">Industry Canada published on 5 February 2015 the new </w:t>
      </w:r>
      <w:r w:rsidRPr="00491724">
        <w:rPr>
          <w:rFonts w:ascii="Arial" w:hAnsi="Arial" w:cs="Arial"/>
          <w:lang w:val="en-GB"/>
        </w:rPr>
        <w:t xml:space="preserve">RSS-222 </w:t>
      </w:r>
      <w:r>
        <w:rPr>
          <w:rFonts w:ascii="Arial" w:hAnsi="Arial" w:cs="Arial"/>
          <w:lang w:val="en-GB"/>
        </w:rPr>
        <w:t>on W</w:t>
      </w:r>
      <w:r w:rsidRPr="00491724">
        <w:rPr>
          <w:rFonts w:ascii="Arial" w:hAnsi="Arial" w:cs="Arial"/>
          <w:lang w:val="en-GB"/>
        </w:rPr>
        <w:t>hite Space Devices (WSDs)</w:t>
      </w:r>
      <w:r>
        <w:rPr>
          <w:rFonts w:ascii="Arial" w:hAnsi="Arial" w:cs="Arial"/>
          <w:lang w:val="en-GB"/>
        </w:rPr>
        <w:t xml:space="preserve"> </w:t>
      </w:r>
      <w:r w:rsidR="00F253DC">
        <w:fldChar w:fldCharType="begin"/>
      </w:r>
      <w:r w:rsidR="00F253DC" w:rsidRPr="00C00615">
        <w:rPr>
          <w:lang w:val="en-GB"/>
          <w:rPrChange w:id="1" w:author="Stella Lyubchenko" w:date="2016-02-12T12:36:00Z">
            <w:rPr/>
          </w:rPrChange>
        </w:rPr>
        <w:instrText xml:space="preserve"> HYPERLINK "http://www.ic.gc.ca/eic/site/smt-gst.nsf/eng/sf10930.html" </w:instrText>
      </w:r>
      <w:r w:rsidR="00F253DC">
        <w:fldChar w:fldCharType="separate"/>
      </w:r>
      <w:r w:rsidRPr="00491724">
        <w:rPr>
          <w:rStyle w:val="Hyperlink"/>
          <w:rFonts w:ascii="Arial" w:hAnsi="Arial" w:cs="Arial"/>
          <w:lang w:val="en-GB"/>
        </w:rPr>
        <w:t>Link</w:t>
      </w:r>
      <w:r w:rsidR="00F253DC">
        <w:rPr>
          <w:rStyle w:val="Hyperlink"/>
          <w:rFonts w:ascii="Arial" w:hAnsi="Arial" w:cs="Arial"/>
          <w:lang w:val="en-GB"/>
        </w:rPr>
        <w:fldChar w:fldCharType="end"/>
      </w:r>
      <w:r>
        <w:rPr>
          <w:rFonts w:ascii="Arial" w:hAnsi="Arial" w:cs="Arial"/>
          <w:lang w:val="en-GB"/>
        </w:rPr>
        <w:t xml:space="preserve">. </w:t>
      </w:r>
      <w:r w:rsidRPr="00491724">
        <w:rPr>
          <w:rFonts w:ascii="Arial" w:hAnsi="Arial" w:cs="Arial"/>
          <w:lang w:val="en-GB"/>
        </w:rPr>
        <w:t xml:space="preserve">Industry Canada's Radio Standards Specifications </w:t>
      </w:r>
      <w:r>
        <w:rPr>
          <w:rFonts w:ascii="Arial" w:hAnsi="Arial" w:cs="Arial"/>
          <w:lang w:val="en-GB"/>
        </w:rPr>
        <w:t>RSS-222</w:t>
      </w:r>
      <w:r w:rsidRPr="00491724">
        <w:rPr>
          <w:rFonts w:ascii="Arial" w:hAnsi="Arial" w:cs="Arial"/>
          <w:lang w:val="en-GB"/>
        </w:rPr>
        <w:t xml:space="preserve"> describes the various technical </w:t>
      </w:r>
      <w:r>
        <w:rPr>
          <w:rFonts w:ascii="Arial" w:hAnsi="Arial" w:cs="Arial"/>
          <w:lang w:val="en-GB"/>
        </w:rPr>
        <w:t xml:space="preserve">and operational </w:t>
      </w:r>
      <w:r w:rsidRPr="00491724">
        <w:rPr>
          <w:rFonts w:ascii="Arial" w:hAnsi="Arial" w:cs="Arial"/>
          <w:lang w:val="en-GB"/>
        </w:rPr>
        <w:t xml:space="preserve">requirements and processes to be followed when demonstrating compliance of </w:t>
      </w:r>
      <w:r>
        <w:rPr>
          <w:rFonts w:ascii="Arial" w:hAnsi="Arial" w:cs="Arial"/>
          <w:lang w:val="en-GB"/>
        </w:rPr>
        <w:t xml:space="preserve">the white space </w:t>
      </w:r>
      <w:r w:rsidRPr="00491724">
        <w:rPr>
          <w:rFonts w:ascii="Arial" w:hAnsi="Arial" w:cs="Arial"/>
          <w:lang w:val="en-GB"/>
        </w:rPr>
        <w:t>radio apparatus</w:t>
      </w:r>
      <w:r>
        <w:rPr>
          <w:rFonts w:ascii="Arial" w:hAnsi="Arial" w:cs="Arial"/>
          <w:lang w:val="en-GB"/>
        </w:rPr>
        <w:t xml:space="preserve"> </w:t>
      </w:r>
      <w:r w:rsidRPr="008F6A5D">
        <w:rPr>
          <w:rFonts w:ascii="Arial" w:hAnsi="Arial" w:cs="Arial"/>
          <w:lang w:val="en-GB"/>
        </w:rPr>
        <w:t xml:space="preserve">that is used for </w:t>
      </w:r>
      <w:proofErr w:type="spellStart"/>
      <w:r w:rsidRPr="008F6A5D">
        <w:rPr>
          <w:rFonts w:ascii="Arial" w:hAnsi="Arial" w:cs="Arial"/>
          <w:lang w:val="en-GB"/>
        </w:rPr>
        <w:t>radiocommunication</w:t>
      </w:r>
      <w:proofErr w:type="spellEnd"/>
      <w:r w:rsidRPr="008F6A5D">
        <w:rPr>
          <w:rFonts w:ascii="Arial" w:hAnsi="Arial" w:cs="Arial"/>
          <w:lang w:val="en-GB"/>
        </w:rPr>
        <w:t xml:space="preserve"> other than broadcasting</w:t>
      </w:r>
      <w:r>
        <w:rPr>
          <w:rFonts w:ascii="Arial" w:hAnsi="Arial" w:cs="Arial"/>
          <w:lang w:val="en-GB"/>
        </w:rPr>
        <w:t xml:space="preserve">. </w:t>
      </w:r>
      <w:r w:rsidRPr="008F6A5D">
        <w:rPr>
          <w:rFonts w:ascii="Arial" w:hAnsi="Arial" w:cs="Arial"/>
          <w:lang w:val="en-GB"/>
        </w:rPr>
        <w:t>Radio S</w:t>
      </w:r>
      <w:r>
        <w:rPr>
          <w:rFonts w:ascii="Arial" w:hAnsi="Arial" w:cs="Arial"/>
          <w:lang w:val="en-GB"/>
        </w:rPr>
        <w:t xml:space="preserve">tandards Specification RSS-222 </w:t>
      </w:r>
      <w:r w:rsidRPr="008F6A5D">
        <w:rPr>
          <w:rFonts w:ascii="Arial" w:hAnsi="Arial" w:cs="Arial"/>
          <w:lang w:val="en-GB"/>
        </w:rPr>
        <w:t xml:space="preserve">sets out the requirements for the technical compliance of licence-exempt, Category I radio apparatus operating in the frequency bands 54-60 MHz, 76-88 MHz, 174-216 MHz, 470-608 MHz and 614-698 MHz, known as white space devices (WSDs). </w:t>
      </w:r>
    </w:p>
    <w:p w:rsidR="009412B4" w:rsidRDefault="009412B4" w:rsidP="009412B4">
      <w:pPr>
        <w:spacing w:after="120" w:line="240" w:lineRule="auto"/>
        <w:rPr>
          <w:rFonts w:ascii="Arial" w:hAnsi="Arial" w:cs="Arial"/>
          <w:lang w:val="en-GB"/>
        </w:rPr>
      </w:pPr>
      <w:r>
        <w:rPr>
          <w:rFonts w:ascii="Arial" w:hAnsi="Arial" w:cs="Arial"/>
          <w:lang w:val="en-GB"/>
        </w:rPr>
        <w:t xml:space="preserve">Industry Canada emphasises that the </w:t>
      </w:r>
      <w:r w:rsidRPr="00491724">
        <w:rPr>
          <w:rFonts w:ascii="Arial" w:hAnsi="Arial" w:cs="Arial"/>
          <w:lang w:val="en-GB"/>
        </w:rPr>
        <w:t>TVWS technology uses available television airwaves to deliver improved, Wi-Fi–like services in rural regions. TVWS devices will initially provide broadband Internet, similar to Wi-Fi, but with expanded coverage that exceeds traditional Wi-Fi.</w:t>
      </w:r>
      <w:r>
        <w:rPr>
          <w:rFonts w:ascii="Arial" w:hAnsi="Arial" w:cs="Arial"/>
          <w:lang w:val="en-GB"/>
        </w:rPr>
        <w:t xml:space="preserve"> </w:t>
      </w:r>
      <w:r w:rsidRPr="00491724">
        <w:rPr>
          <w:rFonts w:ascii="Arial" w:hAnsi="Arial" w:cs="Arial"/>
          <w:lang w:val="en-GB"/>
        </w:rPr>
        <w:t>This move will allow these devices to be used in Canada without interfering with existing TV broadcasts.</w:t>
      </w:r>
      <w:r>
        <w:rPr>
          <w:rFonts w:ascii="Arial" w:hAnsi="Arial" w:cs="Arial"/>
          <w:lang w:val="en-GB"/>
        </w:rPr>
        <w:t xml:space="preserve"> Industry </w:t>
      </w:r>
      <w:r>
        <w:rPr>
          <w:rFonts w:ascii="Arial" w:hAnsi="Arial" w:cs="Arial"/>
          <w:lang w:val="en-GB"/>
        </w:rPr>
        <w:lastRenderedPageBreak/>
        <w:t xml:space="preserve">Canada follows with this step the </w:t>
      </w:r>
      <w:r w:rsidRPr="00491724">
        <w:rPr>
          <w:rFonts w:ascii="Arial" w:hAnsi="Arial" w:cs="Arial"/>
          <w:lang w:val="en-GB"/>
        </w:rPr>
        <w:t>policy permitting the use of TVWS devices in 2012</w:t>
      </w:r>
      <w:r>
        <w:rPr>
          <w:rFonts w:ascii="Arial" w:hAnsi="Arial" w:cs="Arial"/>
          <w:lang w:val="en-GB"/>
        </w:rPr>
        <w:t xml:space="preserve"> with a </w:t>
      </w:r>
      <w:r w:rsidRPr="00491724">
        <w:rPr>
          <w:rFonts w:ascii="Arial" w:hAnsi="Arial" w:cs="Arial"/>
          <w:lang w:val="en-GB"/>
        </w:rPr>
        <w:t>similar approach to TVWS</w:t>
      </w:r>
      <w:r>
        <w:rPr>
          <w:rFonts w:ascii="Arial" w:hAnsi="Arial" w:cs="Arial"/>
          <w:lang w:val="en-GB"/>
        </w:rPr>
        <w:t xml:space="preserve">, </w:t>
      </w:r>
      <w:r w:rsidRPr="00491724">
        <w:rPr>
          <w:rFonts w:ascii="Arial" w:hAnsi="Arial" w:cs="Arial"/>
          <w:lang w:val="en-GB"/>
        </w:rPr>
        <w:t>The United States has taken.</w:t>
      </w:r>
    </w:p>
    <w:p w:rsidR="00D46CEF" w:rsidRDefault="00D46CEF" w:rsidP="00CD7DD0">
      <w:pPr>
        <w:pStyle w:val="ListParagraph"/>
        <w:numPr>
          <w:ilvl w:val="0"/>
          <w:numId w:val="24"/>
        </w:numPr>
        <w:spacing w:before="120" w:after="240" w:line="240" w:lineRule="auto"/>
        <w:ind w:hanging="357"/>
        <w:rPr>
          <w:rFonts w:ascii="Arial" w:hAnsi="Arial" w:cs="Arial"/>
          <w:b/>
          <w:lang w:val="en-US"/>
        </w:rPr>
      </w:pPr>
      <w:r w:rsidRPr="00847933">
        <w:rPr>
          <w:rFonts w:ascii="Arial" w:hAnsi="Arial" w:cs="Arial"/>
          <w:b/>
          <w:lang w:val="en-US"/>
        </w:rPr>
        <w:t>Database Approval Process</w:t>
      </w:r>
    </w:p>
    <w:p w:rsidR="00CD7DD0" w:rsidRDefault="00CD7DD0" w:rsidP="00CD7DD0">
      <w:pPr>
        <w:pStyle w:val="ListParagraph"/>
        <w:spacing w:before="120" w:after="240" w:line="240" w:lineRule="auto"/>
        <w:rPr>
          <w:rFonts w:ascii="Arial" w:hAnsi="Arial" w:cs="Arial"/>
          <w:lang w:val="en-US"/>
        </w:rPr>
      </w:pPr>
    </w:p>
    <w:p w:rsidR="00D46CEF" w:rsidRPr="00D46CEF" w:rsidRDefault="00D46CEF" w:rsidP="00CD7DD0">
      <w:pPr>
        <w:pStyle w:val="ListParagraph"/>
        <w:numPr>
          <w:ilvl w:val="0"/>
          <w:numId w:val="13"/>
        </w:numPr>
        <w:spacing w:before="120" w:after="240" w:line="240" w:lineRule="auto"/>
        <w:ind w:hanging="357"/>
        <w:rPr>
          <w:rFonts w:ascii="Arial" w:hAnsi="Arial" w:cs="Arial"/>
          <w:lang w:val="en-US"/>
        </w:rPr>
      </w:pPr>
      <w:r w:rsidRPr="00D46CEF">
        <w:rPr>
          <w:rFonts w:ascii="Arial" w:hAnsi="Arial" w:cs="Arial"/>
          <w:lang w:val="en-US"/>
        </w:rPr>
        <w:t xml:space="preserve">Call for Applications </w:t>
      </w:r>
    </w:p>
    <w:p w:rsidR="00D46CEF" w:rsidRPr="00D46CEF" w:rsidRDefault="00D46CEF" w:rsidP="00D46CEF">
      <w:pPr>
        <w:pStyle w:val="ListParagraph"/>
        <w:numPr>
          <w:ilvl w:val="0"/>
          <w:numId w:val="13"/>
        </w:numPr>
        <w:spacing w:after="120" w:line="240" w:lineRule="auto"/>
        <w:rPr>
          <w:rFonts w:ascii="Arial" w:hAnsi="Arial" w:cs="Arial"/>
          <w:lang w:val="en-US"/>
        </w:rPr>
      </w:pPr>
      <w:r w:rsidRPr="00D46CEF">
        <w:rPr>
          <w:rFonts w:ascii="Arial" w:hAnsi="Arial" w:cs="Arial"/>
          <w:lang w:val="en-US"/>
        </w:rPr>
        <w:t xml:space="preserve">Review of Applicants </w:t>
      </w:r>
    </w:p>
    <w:p w:rsidR="00D46CEF" w:rsidRPr="00D46CEF" w:rsidRDefault="00D46CEF" w:rsidP="00D46CEF">
      <w:pPr>
        <w:pStyle w:val="ListParagraph"/>
        <w:numPr>
          <w:ilvl w:val="0"/>
          <w:numId w:val="13"/>
        </w:numPr>
        <w:spacing w:after="120" w:line="240" w:lineRule="auto"/>
        <w:rPr>
          <w:rFonts w:ascii="Arial" w:hAnsi="Arial" w:cs="Arial"/>
          <w:lang w:val="en-US"/>
        </w:rPr>
      </w:pPr>
      <w:r w:rsidRPr="00D46CEF">
        <w:rPr>
          <w:rFonts w:ascii="Arial" w:hAnsi="Arial" w:cs="Arial"/>
          <w:lang w:val="en-US"/>
        </w:rPr>
        <w:t xml:space="preserve">Evaluation and Testing </w:t>
      </w:r>
    </w:p>
    <w:p w:rsidR="00D46CEF" w:rsidRPr="00D46CEF" w:rsidRDefault="00D46CEF" w:rsidP="00D46CEF">
      <w:pPr>
        <w:pStyle w:val="ListParagraph"/>
        <w:numPr>
          <w:ilvl w:val="0"/>
          <w:numId w:val="13"/>
        </w:numPr>
        <w:spacing w:after="120" w:line="240" w:lineRule="auto"/>
        <w:rPr>
          <w:rFonts w:ascii="Arial" w:hAnsi="Arial" w:cs="Arial"/>
          <w:lang w:val="en-US"/>
        </w:rPr>
      </w:pPr>
      <w:r w:rsidRPr="00D46CEF">
        <w:rPr>
          <w:rFonts w:ascii="Arial" w:hAnsi="Arial" w:cs="Arial"/>
          <w:lang w:val="en-US"/>
        </w:rPr>
        <w:t xml:space="preserve">Designation of Databases </w:t>
      </w:r>
    </w:p>
    <w:p w:rsidR="00D46CEF" w:rsidRPr="00D46CEF" w:rsidRDefault="00D46CEF" w:rsidP="003F6D5D">
      <w:pPr>
        <w:pStyle w:val="ListParagraph"/>
        <w:numPr>
          <w:ilvl w:val="0"/>
          <w:numId w:val="13"/>
        </w:numPr>
        <w:spacing w:after="0" w:line="240" w:lineRule="auto"/>
        <w:rPr>
          <w:rFonts w:ascii="Arial" w:hAnsi="Arial" w:cs="Arial"/>
          <w:lang w:val="en-US"/>
        </w:rPr>
      </w:pPr>
      <w:r w:rsidRPr="00D46CEF">
        <w:rPr>
          <w:rFonts w:ascii="Arial" w:hAnsi="Arial" w:cs="Arial"/>
          <w:lang w:val="en-US"/>
        </w:rPr>
        <w:t>Certification of Devices</w:t>
      </w:r>
    </w:p>
    <w:p w:rsidR="00D46CEF" w:rsidRDefault="00D46CEF" w:rsidP="003F6D5D">
      <w:pPr>
        <w:spacing w:after="0"/>
        <w:rPr>
          <w:rFonts w:ascii="Arial" w:hAnsi="Arial" w:cs="Arial"/>
          <w:lang w:val="en-GB"/>
        </w:rPr>
      </w:pPr>
    </w:p>
    <w:p w:rsidR="0075572D" w:rsidRPr="00847933" w:rsidRDefault="00D46CEF" w:rsidP="003F6D5D">
      <w:pPr>
        <w:pStyle w:val="ListParagraph"/>
        <w:numPr>
          <w:ilvl w:val="0"/>
          <w:numId w:val="24"/>
        </w:numPr>
        <w:spacing w:after="0"/>
        <w:rPr>
          <w:rFonts w:ascii="Arial" w:hAnsi="Arial" w:cs="Arial"/>
          <w:b/>
          <w:lang w:val="en-GB"/>
        </w:rPr>
      </w:pPr>
      <w:r w:rsidRPr="00847933">
        <w:rPr>
          <w:rFonts w:ascii="Arial" w:hAnsi="Arial" w:cs="Arial"/>
          <w:b/>
          <w:lang w:val="en-GB"/>
        </w:rPr>
        <w:t>Developmental Licensing</w:t>
      </w:r>
    </w:p>
    <w:p w:rsidR="00D46CEF" w:rsidRPr="00D46CEF" w:rsidRDefault="00D46CEF" w:rsidP="00847933">
      <w:pPr>
        <w:rPr>
          <w:rFonts w:ascii="Arial" w:hAnsi="Arial" w:cs="Arial"/>
          <w:lang w:val="en-GB"/>
        </w:rPr>
      </w:pPr>
      <w:proofErr w:type="spellStart"/>
      <w:r w:rsidRPr="00847933">
        <w:rPr>
          <w:rFonts w:ascii="Arial" w:hAnsi="Arial" w:cs="Arial"/>
          <w:lang w:val="en-GB"/>
        </w:rPr>
        <w:t>Radiocommunication</w:t>
      </w:r>
      <w:proofErr w:type="spellEnd"/>
      <w:r w:rsidRPr="00847933">
        <w:rPr>
          <w:rFonts w:ascii="Arial" w:hAnsi="Arial" w:cs="Arial"/>
          <w:lang w:val="en-GB"/>
        </w:rPr>
        <w:t xml:space="preserve"> Regulations authori</w:t>
      </w:r>
      <w:r w:rsidR="00342A23" w:rsidRPr="00847933">
        <w:rPr>
          <w:rFonts w:ascii="Arial" w:hAnsi="Arial" w:cs="Arial"/>
          <w:lang w:val="en-GB"/>
        </w:rPr>
        <w:t>s</w:t>
      </w:r>
      <w:r w:rsidRPr="00847933">
        <w:rPr>
          <w:rFonts w:ascii="Arial" w:hAnsi="Arial" w:cs="Arial"/>
          <w:lang w:val="en-GB"/>
        </w:rPr>
        <w:t xml:space="preserve">e the Minister </w:t>
      </w:r>
      <w:r w:rsidR="00847933">
        <w:rPr>
          <w:rFonts w:ascii="Arial" w:hAnsi="Arial" w:cs="Arial"/>
          <w:lang w:val="en-GB"/>
        </w:rPr>
        <w:t xml:space="preserve">to issue developmental licences. </w:t>
      </w:r>
    </w:p>
    <w:p w:rsidR="00D46CEF" w:rsidRPr="00847933" w:rsidRDefault="00D46CEF" w:rsidP="00847933">
      <w:pPr>
        <w:pStyle w:val="ListParagraph"/>
        <w:numPr>
          <w:ilvl w:val="0"/>
          <w:numId w:val="27"/>
        </w:numPr>
        <w:spacing w:after="120" w:line="240" w:lineRule="auto"/>
        <w:rPr>
          <w:rFonts w:ascii="Arial" w:hAnsi="Arial" w:cs="Arial"/>
          <w:lang w:val="en-GB"/>
        </w:rPr>
      </w:pPr>
      <w:r w:rsidRPr="00847933">
        <w:rPr>
          <w:rFonts w:ascii="Arial" w:hAnsi="Arial" w:cs="Arial"/>
          <w:lang w:val="en-GB"/>
        </w:rPr>
        <w:t>IC has a great deal of flexibility, depending on what is requested</w:t>
      </w:r>
    </w:p>
    <w:p w:rsidR="00D46CEF" w:rsidRPr="00847933" w:rsidRDefault="00D46CEF" w:rsidP="00847933">
      <w:pPr>
        <w:pStyle w:val="ListParagraph"/>
        <w:numPr>
          <w:ilvl w:val="0"/>
          <w:numId w:val="27"/>
        </w:numPr>
        <w:spacing w:after="120" w:line="240" w:lineRule="auto"/>
        <w:rPr>
          <w:rFonts w:ascii="Arial" w:hAnsi="Arial" w:cs="Arial"/>
          <w:lang w:val="en-GB"/>
        </w:rPr>
      </w:pPr>
      <w:r w:rsidRPr="00847933">
        <w:rPr>
          <w:rFonts w:ascii="Arial" w:hAnsi="Arial" w:cs="Arial"/>
          <w:lang w:val="en-GB"/>
        </w:rPr>
        <w:t>Typically short term, limited in area / frequencies</w:t>
      </w:r>
    </w:p>
    <w:p w:rsidR="00D46CEF" w:rsidRDefault="00D46CEF" w:rsidP="00847933">
      <w:pPr>
        <w:pStyle w:val="ListParagraph"/>
        <w:numPr>
          <w:ilvl w:val="0"/>
          <w:numId w:val="27"/>
        </w:numPr>
        <w:spacing w:after="120" w:line="240" w:lineRule="auto"/>
        <w:rPr>
          <w:rFonts w:ascii="Arial" w:hAnsi="Arial" w:cs="Arial"/>
          <w:lang w:val="en-GB"/>
        </w:rPr>
      </w:pPr>
      <w:r w:rsidRPr="00847933">
        <w:rPr>
          <w:rFonts w:ascii="Arial" w:hAnsi="Arial" w:cs="Arial"/>
          <w:lang w:val="en-GB"/>
        </w:rPr>
        <w:t>Technical compatibility / interference avoidance is a key consideration</w:t>
      </w:r>
    </w:p>
    <w:p w:rsidR="00847933" w:rsidRPr="00847933" w:rsidRDefault="00847933" w:rsidP="00847933">
      <w:pPr>
        <w:pStyle w:val="ListParagraph"/>
        <w:spacing w:after="120" w:line="240" w:lineRule="auto"/>
        <w:ind w:left="1080"/>
        <w:rPr>
          <w:rFonts w:ascii="Arial" w:hAnsi="Arial" w:cs="Arial"/>
          <w:lang w:val="en-GB"/>
        </w:rPr>
      </w:pPr>
    </w:p>
    <w:p w:rsidR="00D46CEF" w:rsidRPr="00847933" w:rsidRDefault="00D46CEF" w:rsidP="00847933">
      <w:pPr>
        <w:spacing w:after="120" w:line="240" w:lineRule="auto"/>
        <w:rPr>
          <w:rFonts w:ascii="Arial" w:hAnsi="Arial" w:cs="Arial"/>
          <w:lang w:val="en-GB"/>
        </w:rPr>
      </w:pPr>
      <w:r w:rsidRPr="00847933">
        <w:rPr>
          <w:rFonts w:ascii="Arial" w:hAnsi="Arial" w:cs="Arial"/>
          <w:lang w:val="en-GB"/>
        </w:rPr>
        <w:t>Applications should be directed to any IC District Office</w:t>
      </w:r>
      <w:r w:rsidR="00847933">
        <w:rPr>
          <w:rFonts w:ascii="Arial" w:hAnsi="Arial" w:cs="Arial"/>
          <w:lang w:val="en-GB"/>
        </w:rPr>
        <w:t xml:space="preserve">: </w:t>
      </w:r>
    </w:p>
    <w:p w:rsidR="00D46CEF" w:rsidRPr="00101C62" w:rsidRDefault="00D46CEF" w:rsidP="00847933">
      <w:pPr>
        <w:pStyle w:val="ListParagraph"/>
        <w:numPr>
          <w:ilvl w:val="0"/>
          <w:numId w:val="28"/>
        </w:numPr>
        <w:spacing w:after="120" w:line="240" w:lineRule="auto"/>
        <w:rPr>
          <w:rFonts w:ascii="Arial" w:hAnsi="Arial" w:cs="Arial"/>
          <w:lang w:val="en-GB"/>
        </w:rPr>
      </w:pPr>
      <w:r w:rsidRPr="00101C62">
        <w:rPr>
          <w:rFonts w:ascii="Arial" w:hAnsi="Arial" w:cs="Arial"/>
          <w:lang w:val="en-GB"/>
        </w:rPr>
        <w:t>May take form of a letter</w:t>
      </w:r>
    </w:p>
    <w:p w:rsidR="00D46CEF" w:rsidRPr="00101C62" w:rsidRDefault="00D46CEF" w:rsidP="00847933">
      <w:pPr>
        <w:pStyle w:val="ListParagraph"/>
        <w:numPr>
          <w:ilvl w:val="0"/>
          <w:numId w:val="28"/>
        </w:numPr>
        <w:spacing w:after="120" w:line="240" w:lineRule="auto"/>
        <w:rPr>
          <w:rFonts w:ascii="Arial" w:hAnsi="Arial" w:cs="Arial"/>
          <w:lang w:val="en-GB"/>
        </w:rPr>
      </w:pPr>
      <w:r w:rsidRPr="00101C62">
        <w:rPr>
          <w:rFonts w:ascii="Arial" w:hAnsi="Arial" w:cs="Arial"/>
          <w:lang w:val="en-GB"/>
        </w:rPr>
        <w:t>Include specific details of what is sought</w:t>
      </w:r>
    </w:p>
    <w:p w:rsidR="00D46CEF" w:rsidRDefault="00D46CEF" w:rsidP="003F6D5D">
      <w:pPr>
        <w:pStyle w:val="ListParagraph"/>
        <w:numPr>
          <w:ilvl w:val="0"/>
          <w:numId w:val="28"/>
        </w:numPr>
        <w:spacing w:after="0" w:line="240" w:lineRule="auto"/>
        <w:rPr>
          <w:rFonts w:ascii="Arial" w:hAnsi="Arial" w:cs="Arial"/>
          <w:lang w:val="en-GB"/>
        </w:rPr>
      </w:pPr>
      <w:r w:rsidRPr="00101C62">
        <w:rPr>
          <w:rFonts w:ascii="Arial" w:hAnsi="Arial" w:cs="Arial"/>
          <w:lang w:val="en-GB"/>
        </w:rPr>
        <w:t>No implication of ongoing tenure</w:t>
      </w:r>
    </w:p>
    <w:p w:rsidR="006D244B" w:rsidRDefault="006D244B" w:rsidP="003F6D5D">
      <w:pPr>
        <w:pStyle w:val="ListParagraph"/>
        <w:spacing w:after="0" w:line="240" w:lineRule="auto"/>
        <w:ind w:left="1080"/>
        <w:rPr>
          <w:rFonts w:ascii="Arial" w:hAnsi="Arial" w:cs="Arial"/>
          <w:lang w:val="en-GB"/>
        </w:rPr>
      </w:pPr>
    </w:p>
    <w:p w:rsidR="006D244B" w:rsidRDefault="006D244B" w:rsidP="003F6D5D">
      <w:pPr>
        <w:pStyle w:val="ListParagraph"/>
        <w:spacing w:after="0" w:line="240" w:lineRule="auto"/>
        <w:ind w:left="1080"/>
        <w:rPr>
          <w:rFonts w:ascii="Arial" w:hAnsi="Arial" w:cs="Arial"/>
          <w:lang w:val="en-GB"/>
        </w:rPr>
      </w:pPr>
    </w:p>
    <w:p w:rsidR="006D244B" w:rsidRPr="00DF3663" w:rsidRDefault="006D244B" w:rsidP="006D244B">
      <w:pPr>
        <w:pStyle w:val="ListParagraph"/>
        <w:numPr>
          <w:ilvl w:val="0"/>
          <w:numId w:val="20"/>
        </w:numPr>
        <w:spacing w:before="120" w:after="0" w:line="240" w:lineRule="auto"/>
        <w:jc w:val="both"/>
        <w:rPr>
          <w:rFonts w:ascii="Arial" w:eastAsia="Times New Roman" w:hAnsi="Arial" w:cs="Arial"/>
          <w:b/>
          <w:lang w:val="en-GB" w:eastAsia="de-DE"/>
        </w:rPr>
      </w:pPr>
      <w:r w:rsidRPr="00DF3663">
        <w:rPr>
          <w:rFonts w:ascii="Arial" w:eastAsia="Times New Roman" w:hAnsi="Arial" w:cs="Arial"/>
          <w:b/>
          <w:lang w:val="en-GB" w:eastAsia="de-DE"/>
        </w:rPr>
        <w:t>Japan – TV White Space Devices (status end of 2013)</w:t>
      </w:r>
    </w:p>
    <w:p w:rsidR="006D244B" w:rsidRPr="0075572D" w:rsidRDefault="006D244B" w:rsidP="006D244B">
      <w:pPr>
        <w:spacing w:after="120" w:line="240" w:lineRule="auto"/>
        <w:jc w:val="both"/>
        <w:rPr>
          <w:rFonts w:ascii="Arial" w:eastAsia="Times New Roman" w:hAnsi="Arial" w:cs="Arial"/>
          <w:lang w:val="en-GB" w:eastAsia="de-DE"/>
        </w:rPr>
      </w:pPr>
    </w:p>
    <w:p w:rsidR="006D244B" w:rsidRPr="0075572D" w:rsidRDefault="006D244B" w:rsidP="006D244B">
      <w:pPr>
        <w:spacing w:after="120" w:line="240" w:lineRule="auto"/>
        <w:jc w:val="both"/>
        <w:rPr>
          <w:rFonts w:ascii="Arial" w:eastAsia="Times New Roman" w:hAnsi="Arial" w:cs="Arial"/>
          <w:lang w:val="en-GB" w:eastAsia="de-DE"/>
        </w:rPr>
      </w:pPr>
      <w:r w:rsidRPr="0075572D">
        <w:rPr>
          <w:rFonts w:ascii="Arial" w:eastAsia="Times New Roman" w:hAnsi="Arial" w:cs="Arial"/>
          <w:lang w:val="en-GB" w:eastAsia="de-DE"/>
        </w:rPr>
        <w:t xml:space="preserve">The Japanese approach for TVWSD in the band 470-710 MHz </w:t>
      </w:r>
      <w:r>
        <w:rPr>
          <w:rFonts w:ascii="Arial" w:eastAsia="Times New Roman" w:hAnsi="Arial" w:cs="Arial"/>
          <w:lang w:val="en-GB" w:eastAsia="de-DE"/>
        </w:rPr>
        <w:t>is contemplating</w:t>
      </w:r>
      <w:r w:rsidRPr="0075572D">
        <w:rPr>
          <w:rFonts w:ascii="Arial" w:eastAsia="Times New Roman" w:hAnsi="Arial" w:cs="Arial"/>
          <w:lang w:val="en-GB" w:eastAsia="de-DE"/>
        </w:rPr>
        <w:t xml:space="preserve"> individual licensing for the following four application categories: wireless microphones, ad-hoc PPDR, sensor networks, and WAS/RLAN.</w:t>
      </w:r>
    </w:p>
    <w:p w:rsidR="006D244B" w:rsidRPr="0075572D" w:rsidRDefault="006D244B" w:rsidP="006D244B">
      <w:pPr>
        <w:spacing w:after="120" w:line="240" w:lineRule="auto"/>
        <w:jc w:val="both"/>
        <w:rPr>
          <w:rFonts w:ascii="Arial" w:eastAsia="Times New Roman" w:hAnsi="Arial" w:cs="Arial"/>
          <w:lang w:val="en-GB" w:eastAsia="de-DE"/>
        </w:rPr>
      </w:pPr>
      <w:r w:rsidRPr="0075572D">
        <w:rPr>
          <w:rFonts w:ascii="Arial" w:eastAsia="Times New Roman" w:hAnsi="Arial" w:cs="Arial"/>
          <w:lang w:val="en-GB" w:eastAsia="de-DE"/>
        </w:rPr>
        <w:t xml:space="preserve">The WSDB is provided in Japan by ISB Corporation and aims at avoiding interference to incumbents of TV broadcasters from automatically selecting the non-interfering TV band. </w:t>
      </w:r>
    </w:p>
    <w:p w:rsidR="006D244B" w:rsidRPr="0075572D" w:rsidRDefault="006D244B" w:rsidP="006D244B">
      <w:pPr>
        <w:spacing w:after="120" w:line="240" w:lineRule="auto"/>
        <w:jc w:val="both"/>
        <w:rPr>
          <w:rFonts w:ascii="Arial" w:eastAsia="Times New Roman" w:hAnsi="Arial" w:cs="Arial"/>
          <w:lang w:val="en-GB" w:eastAsia="de-DE"/>
        </w:rPr>
      </w:pPr>
      <w:r w:rsidRPr="0075572D">
        <w:rPr>
          <w:rFonts w:ascii="Arial" w:eastAsia="Times New Roman" w:hAnsi="Arial" w:cs="Arial"/>
          <w:lang w:val="en-GB" w:eastAsia="de-DE"/>
        </w:rPr>
        <w:t xml:space="preserve">The government agency National Institute of Information and Communications Technology (NICT) cooperates in bringing up some new applications such as for emergency services. The regulation is supervised by the MIT Council for White space Promotion for future adaptions. </w:t>
      </w:r>
    </w:p>
    <w:p w:rsidR="006D244B" w:rsidRDefault="006D244B" w:rsidP="006D244B">
      <w:pPr>
        <w:spacing w:after="120" w:line="240" w:lineRule="auto"/>
        <w:jc w:val="both"/>
        <w:rPr>
          <w:rFonts w:ascii="Arial" w:eastAsia="Times New Roman" w:hAnsi="Arial" w:cs="Arial"/>
          <w:lang w:val="en-GB" w:eastAsia="de-DE"/>
        </w:rPr>
      </w:pPr>
      <w:r>
        <w:rPr>
          <w:rFonts w:ascii="Arial" w:eastAsia="Times New Roman" w:hAnsi="Arial" w:cs="Arial"/>
          <w:lang w:val="en-GB" w:eastAsia="de-DE"/>
        </w:rPr>
        <w:t>I</w:t>
      </w:r>
      <w:r w:rsidRPr="0075572D">
        <w:rPr>
          <w:rFonts w:ascii="Arial" w:eastAsia="Times New Roman" w:hAnsi="Arial" w:cs="Arial"/>
          <w:lang w:val="en-GB" w:eastAsia="de-DE"/>
        </w:rPr>
        <w:t xml:space="preserve">n 2013, spectrum co-existence studies amongst the secondary usages mentioned above (so-to-say intra-white-space devices) have been started and are seen as necessary in Japan to satisfy the demand for sufficient </w:t>
      </w:r>
      <w:proofErr w:type="spellStart"/>
      <w:r w:rsidRPr="0075572D">
        <w:rPr>
          <w:rFonts w:ascii="Arial" w:eastAsia="Times New Roman" w:hAnsi="Arial" w:cs="Arial"/>
          <w:lang w:val="en-GB" w:eastAsia="de-DE"/>
        </w:rPr>
        <w:t>QoS</w:t>
      </w:r>
      <w:proofErr w:type="spellEnd"/>
      <w:r w:rsidRPr="0075572D">
        <w:rPr>
          <w:rFonts w:ascii="Arial" w:eastAsia="Times New Roman" w:hAnsi="Arial" w:cs="Arial"/>
          <w:lang w:val="en-GB" w:eastAsia="de-DE"/>
        </w:rPr>
        <w:t xml:space="preserve"> of such applications. </w:t>
      </w:r>
    </w:p>
    <w:p w:rsidR="006D244B" w:rsidRDefault="006D244B" w:rsidP="006D244B">
      <w:pPr>
        <w:spacing w:after="120" w:line="240" w:lineRule="auto"/>
        <w:jc w:val="both"/>
        <w:rPr>
          <w:rFonts w:ascii="Arial" w:eastAsia="Times New Roman" w:hAnsi="Arial" w:cs="Arial"/>
          <w:lang w:val="en-GB" w:eastAsia="de-DE"/>
        </w:rPr>
      </w:pPr>
      <w:r w:rsidRPr="0075572D">
        <w:rPr>
          <w:rFonts w:ascii="Arial" w:eastAsia="Times New Roman" w:hAnsi="Arial" w:cs="Arial"/>
          <w:lang w:val="en-GB" w:eastAsia="de-DE"/>
        </w:rPr>
        <w:t>To apply for an individual licence in Japan for a TVWS usage required initially a lead time of typically three days but after setting up of the processes, this time could already be shortened to approx</w:t>
      </w:r>
      <w:r>
        <w:rPr>
          <w:rFonts w:ascii="Arial" w:eastAsia="Times New Roman" w:hAnsi="Arial" w:cs="Arial"/>
          <w:lang w:val="en-GB" w:eastAsia="de-DE"/>
        </w:rPr>
        <w:t>imately</w:t>
      </w:r>
      <w:r w:rsidRPr="0075572D">
        <w:rPr>
          <w:rFonts w:ascii="Arial" w:eastAsia="Times New Roman" w:hAnsi="Arial" w:cs="Arial"/>
          <w:lang w:val="en-GB" w:eastAsia="de-DE"/>
        </w:rPr>
        <w:t xml:space="preserve"> </w:t>
      </w:r>
      <w:r w:rsidRPr="0075572D">
        <w:rPr>
          <w:rFonts w:ascii="Arial" w:eastAsia="Times New Roman" w:hAnsi="Arial" w:cs="Arial"/>
          <w:i/>
          <w:lang w:val="en-GB" w:eastAsia="de-DE"/>
        </w:rPr>
        <w:t>one</w:t>
      </w:r>
      <w:r w:rsidRPr="0075572D">
        <w:rPr>
          <w:rFonts w:ascii="Arial" w:eastAsia="Times New Roman" w:hAnsi="Arial" w:cs="Arial"/>
          <w:lang w:val="en-GB" w:eastAsia="de-DE"/>
        </w:rPr>
        <w:t xml:space="preserve"> day and the approach can become more and more dynamic in the future with much shorter lead times.</w:t>
      </w:r>
    </w:p>
    <w:p w:rsidR="006D244B" w:rsidRPr="0075572D" w:rsidRDefault="006D244B" w:rsidP="006D244B">
      <w:pPr>
        <w:spacing w:after="120" w:line="240" w:lineRule="auto"/>
        <w:jc w:val="both"/>
        <w:rPr>
          <w:rFonts w:ascii="Arial" w:eastAsia="Times New Roman" w:hAnsi="Arial" w:cs="Arial"/>
          <w:lang w:val="en-GB" w:eastAsia="de-DE"/>
        </w:rPr>
      </w:pPr>
      <w:r w:rsidRPr="00D954BE">
        <w:rPr>
          <w:rFonts w:ascii="Arial" w:eastAsia="Times New Roman" w:hAnsi="Arial" w:cs="Arial"/>
          <w:lang w:val="en-GB" w:eastAsia="de-DE"/>
        </w:rPr>
        <w:t>White space database has been developed, and several contour prediction and interference prediction algorithm are being studied</w:t>
      </w:r>
    </w:p>
    <w:p w:rsidR="006D244B" w:rsidRDefault="006D244B" w:rsidP="006D244B">
      <w:pPr>
        <w:pStyle w:val="ListParagraph"/>
        <w:spacing w:after="0" w:line="240" w:lineRule="auto"/>
        <w:ind w:left="0"/>
        <w:rPr>
          <w:rFonts w:ascii="Arial" w:hAnsi="Arial" w:cs="Arial"/>
          <w:lang w:val="en-GB"/>
        </w:rPr>
      </w:pPr>
      <w:r w:rsidRPr="0075572D">
        <w:rPr>
          <w:rFonts w:ascii="Arial" w:eastAsia="Times New Roman" w:hAnsi="Arial" w:cs="Arial"/>
          <w:lang w:val="en-GB" w:eastAsia="de-DE"/>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pt;height:65.9pt" o:ole="">
            <v:imagedata r:id="rId13" o:title=""/>
          </v:shape>
          <o:OLEObject Type="Embed" ProgID="AcroExch.Document.11" ShapeID="_x0000_i1025" DrawAspect="Icon" ObjectID="_1516789414" r:id="rId14"/>
        </w:object>
      </w:r>
    </w:p>
    <w:p w:rsidR="00804A63" w:rsidRPr="00101C62" w:rsidRDefault="00804A63" w:rsidP="003F6D5D">
      <w:pPr>
        <w:pStyle w:val="ListParagraph"/>
        <w:spacing w:after="0" w:line="240" w:lineRule="auto"/>
        <w:ind w:left="1080"/>
        <w:rPr>
          <w:rFonts w:ascii="Arial" w:hAnsi="Arial" w:cs="Arial"/>
          <w:lang w:val="en-GB"/>
        </w:rPr>
      </w:pPr>
    </w:p>
    <w:p w:rsidR="0075572D" w:rsidRPr="00876534" w:rsidRDefault="006D244B" w:rsidP="003F6D5D">
      <w:pPr>
        <w:spacing w:after="120" w:line="240" w:lineRule="auto"/>
        <w:ind w:firstLine="567"/>
        <w:rPr>
          <w:rFonts w:ascii="Arial" w:hAnsi="Arial" w:cs="Arial"/>
          <w:b/>
          <w:lang w:val="en-GB"/>
        </w:rPr>
      </w:pPr>
      <w:r>
        <w:rPr>
          <w:rFonts w:ascii="Arial" w:hAnsi="Arial" w:cs="Arial"/>
          <w:b/>
          <w:lang w:val="en-GB"/>
        </w:rPr>
        <w:t>5</w:t>
      </w:r>
      <w:r w:rsidR="00DF3663">
        <w:rPr>
          <w:rFonts w:ascii="Arial" w:hAnsi="Arial" w:cs="Arial"/>
          <w:b/>
          <w:lang w:val="en-GB"/>
        </w:rPr>
        <w:t>.</w:t>
      </w:r>
      <w:r w:rsidR="00DF3663">
        <w:rPr>
          <w:rFonts w:ascii="Arial" w:hAnsi="Arial" w:cs="Arial"/>
          <w:b/>
          <w:lang w:val="en-GB"/>
        </w:rPr>
        <w:tab/>
      </w:r>
      <w:r w:rsidR="0010556E" w:rsidRPr="00876534">
        <w:rPr>
          <w:rFonts w:ascii="Arial" w:hAnsi="Arial" w:cs="Arial"/>
          <w:b/>
          <w:lang w:val="en-GB"/>
        </w:rPr>
        <w:t xml:space="preserve">South Africa experience </w:t>
      </w:r>
      <w:r w:rsidR="00CD7DD0">
        <w:rPr>
          <w:rFonts w:ascii="Arial" w:hAnsi="Arial" w:cs="Arial"/>
          <w:b/>
          <w:lang w:val="en-GB"/>
        </w:rPr>
        <w:t xml:space="preserve">(year </w:t>
      </w:r>
      <w:r w:rsidR="00CD7DD0" w:rsidRPr="00CD7DD0">
        <w:rPr>
          <w:rFonts w:ascii="Arial" w:hAnsi="Arial" w:cs="Arial"/>
          <w:b/>
          <w:lang w:val="en-GB"/>
        </w:rPr>
        <w:t>2013)</w:t>
      </w:r>
    </w:p>
    <w:p w:rsidR="00D67BED" w:rsidRPr="00D67BED" w:rsidRDefault="006D244B" w:rsidP="003F6D5D">
      <w:pPr>
        <w:spacing w:after="120" w:line="240" w:lineRule="auto"/>
        <w:ind w:firstLine="567"/>
        <w:rPr>
          <w:rFonts w:ascii="Arial" w:hAnsi="Arial" w:cs="Arial"/>
          <w:lang w:val="en-US"/>
        </w:rPr>
      </w:pPr>
      <w:r>
        <w:rPr>
          <w:rStyle w:val="Strong"/>
          <w:rFonts w:ascii="Arial" w:hAnsi="Arial" w:cs="Arial"/>
          <w:lang w:val="en-US"/>
        </w:rPr>
        <w:t>5</w:t>
      </w:r>
      <w:r w:rsidR="00DF3663">
        <w:rPr>
          <w:rStyle w:val="Strong"/>
          <w:rFonts w:ascii="Arial" w:hAnsi="Arial" w:cs="Arial"/>
          <w:lang w:val="en-US"/>
        </w:rPr>
        <w:t>.1</w:t>
      </w:r>
      <w:r w:rsidR="00DF3663">
        <w:rPr>
          <w:rStyle w:val="Strong"/>
          <w:rFonts w:ascii="Arial" w:hAnsi="Arial" w:cs="Arial"/>
          <w:lang w:val="en-US"/>
        </w:rPr>
        <w:tab/>
      </w:r>
      <w:r w:rsidR="00D67BED" w:rsidRPr="00D67BED">
        <w:rPr>
          <w:rStyle w:val="Strong"/>
          <w:rFonts w:ascii="Arial" w:hAnsi="Arial" w:cs="Arial"/>
          <w:lang w:val="en-US"/>
        </w:rPr>
        <w:t>About the Trial</w:t>
      </w:r>
    </w:p>
    <w:p w:rsidR="00D67BED" w:rsidRPr="00D67BED" w:rsidRDefault="00D67BED" w:rsidP="00D67BED">
      <w:pPr>
        <w:rPr>
          <w:rFonts w:ascii="Arial" w:hAnsi="Arial" w:cs="Arial"/>
        </w:rPr>
      </w:pPr>
      <w:r w:rsidRPr="00D67BED">
        <w:rPr>
          <w:rFonts w:ascii="Arial" w:hAnsi="Arial" w:cs="Arial"/>
          <w:lang w:val="en-US"/>
        </w:rPr>
        <w:lastRenderedPageBreak/>
        <w:t>With the support of</w:t>
      </w:r>
      <w:r w:rsidR="00CD7DD0">
        <w:rPr>
          <w:rFonts w:ascii="Arial" w:hAnsi="Arial" w:cs="Arial"/>
          <w:lang w:val="en-US"/>
        </w:rPr>
        <w:t xml:space="preserve"> </w:t>
      </w:r>
      <w:r w:rsidR="00F253DC">
        <w:fldChar w:fldCharType="begin"/>
      </w:r>
      <w:r w:rsidR="00F253DC" w:rsidRPr="00C00615">
        <w:rPr>
          <w:lang w:val="en-GB"/>
          <w:rPrChange w:id="2" w:author="Stella Lyubchenko" w:date="2016-02-12T12:36:00Z">
            <w:rPr/>
          </w:rPrChange>
        </w:rPr>
        <w:instrText xml:space="preserve"> HYPERLINK "http://www.icasa.org.za/" </w:instrText>
      </w:r>
      <w:r w:rsidR="00F253DC">
        <w:fldChar w:fldCharType="separate"/>
      </w:r>
      <w:r w:rsidR="00CD7DD0" w:rsidRPr="00CD7DD0">
        <w:rPr>
          <w:rStyle w:val="Hyperlink"/>
          <w:rFonts w:ascii="Arial" w:hAnsi="Arial" w:cs="Arial"/>
          <w:lang w:val="en-US"/>
        </w:rPr>
        <w:t>ICASA</w:t>
      </w:r>
      <w:r w:rsidR="00F253DC">
        <w:rPr>
          <w:rStyle w:val="Hyperlink"/>
          <w:rFonts w:ascii="Arial" w:hAnsi="Arial" w:cs="Arial"/>
          <w:lang w:val="en-US"/>
        </w:rPr>
        <w:fldChar w:fldCharType="end"/>
      </w:r>
      <w:r w:rsidRPr="00D67BED">
        <w:rPr>
          <w:rFonts w:ascii="Arial" w:hAnsi="Arial" w:cs="Arial"/>
          <w:lang w:val="en-US"/>
        </w:rPr>
        <w:t xml:space="preserve"> </w:t>
      </w:r>
      <w:r w:rsidR="00F649DB">
        <w:rPr>
          <w:rFonts w:ascii="Arial" w:hAnsi="Arial" w:cs="Arial"/>
          <w:lang w:val="en-US"/>
        </w:rPr>
        <w:t>(</w:t>
      </w:r>
      <w:r w:rsidRPr="00D67BED">
        <w:rPr>
          <w:rFonts w:ascii="Arial" w:hAnsi="Arial" w:cs="Arial"/>
          <w:lang w:val="en-US"/>
        </w:rPr>
        <w:t>communications regulator of South Africa</w:t>
      </w:r>
      <w:r w:rsidR="00F649DB">
        <w:rPr>
          <w:rFonts w:ascii="Arial" w:hAnsi="Arial" w:cs="Arial"/>
          <w:lang w:val="en-US"/>
        </w:rPr>
        <w:t>)</w:t>
      </w:r>
      <w:r w:rsidRPr="00D67BED">
        <w:rPr>
          <w:rFonts w:ascii="Arial" w:hAnsi="Arial" w:cs="Arial"/>
          <w:lang w:val="en-US"/>
        </w:rPr>
        <w:t xml:space="preserve">, a group of partners implemented a TVWS trial network covering ten schools in the Western Cape over a six month period during 2013. The trial partners include TENET, CSIR </w:t>
      </w:r>
      <w:proofErr w:type="spellStart"/>
      <w:r w:rsidRPr="00D67BED">
        <w:rPr>
          <w:rFonts w:ascii="Arial" w:hAnsi="Arial" w:cs="Arial"/>
          <w:lang w:val="en-US"/>
        </w:rPr>
        <w:t>Meraka</w:t>
      </w:r>
      <w:proofErr w:type="spellEnd"/>
      <w:r w:rsidRPr="00D67BED">
        <w:rPr>
          <w:rFonts w:ascii="Arial" w:hAnsi="Arial" w:cs="Arial"/>
          <w:lang w:val="en-US"/>
        </w:rPr>
        <w:t xml:space="preserve">, e-Schools Network, WAPA and Google, with </w:t>
      </w:r>
      <w:proofErr w:type="spellStart"/>
      <w:r w:rsidRPr="00D67BED">
        <w:rPr>
          <w:rFonts w:ascii="Arial" w:hAnsi="Arial" w:cs="Arial"/>
          <w:lang w:val="en-US"/>
        </w:rPr>
        <w:t>Comsol</w:t>
      </w:r>
      <w:proofErr w:type="spellEnd"/>
      <w:r w:rsidRPr="00D67BED">
        <w:rPr>
          <w:rFonts w:ascii="Arial" w:hAnsi="Arial" w:cs="Arial"/>
          <w:lang w:val="en-US"/>
        </w:rPr>
        <w:t xml:space="preserve"> Wireless Solutions, Carlson Wireless Technologies and </w:t>
      </w:r>
      <w:proofErr w:type="spellStart"/>
      <w:r w:rsidRPr="00D67BED">
        <w:rPr>
          <w:rFonts w:ascii="Arial" w:hAnsi="Arial" w:cs="Arial"/>
          <w:lang w:val="en-US"/>
        </w:rPr>
        <w:t>Neul</w:t>
      </w:r>
      <w:proofErr w:type="spellEnd"/>
      <w:r w:rsidRPr="00D67BED">
        <w:rPr>
          <w:rFonts w:ascii="Arial" w:hAnsi="Arial" w:cs="Arial"/>
          <w:lang w:val="en-US"/>
        </w:rPr>
        <w:t xml:space="preserve"> as the vendor partners. </w:t>
      </w:r>
      <w:r w:rsidR="003B070B">
        <w:rPr>
          <w:rFonts w:ascii="Arial" w:hAnsi="Arial" w:cs="Arial"/>
        </w:rPr>
        <w:t>The goals of the trial was to:</w:t>
      </w:r>
    </w:p>
    <w:p w:rsidR="00D67BED" w:rsidRPr="00D67BED" w:rsidRDefault="00D67BED" w:rsidP="003B070B">
      <w:pPr>
        <w:pStyle w:val="ListParagraph"/>
        <w:numPr>
          <w:ilvl w:val="0"/>
          <w:numId w:val="17"/>
        </w:numPr>
        <w:tabs>
          <w:tab w:val="clear" w:pos="720"/>
          <w:tab w:val="num" w:pos="1276"/>
        </w:tabs>
        <w:spacing w:after="0" w:line="240" w:lineRule="auto"/>
        <w:ind w:left="1276" w:hanging="567"/>
        <w:rPr>
          <w:rFonts w:ascii="Arial" w:hAnsi="Arial" w:cs="Arial"/>
          <w:lang w:val="en-US"/>
        </w:rPr>
      </w:pPr>
      <w:r w:rsidRPr="00D67BED">
        <w:rPr>
          <w:rFonts w:ascii="Arial" w:hAnsi="Arial" w:cs="Arial"/>
          <w:lang w:val="en-US"/>
        </w:rPr>
        <w:t>Demonstrate that TVWS can be used to deliver affordable broadband and Internet services without interfering with TV reception</w:t>
      </w:r>
    </w:p>
    <w:p w:rsidR="00884C95" w:rsidRDefault="00D67BED" w:rsidP="003B070B">
      <w:pPr>
        <w:numPr>
          <w:ilvl w:val="0"/>
          <w:numId w:val="17"/>
        </w:numPr>
        <w:tabs>
          <w:tab w:val="clear" w:pos="720"/>
          <w:tab w:val="num" w:pos="709"/>
        </w:tabs>
        <w:spacing w:after="0" w:line="240" w:lineRule="auto"/>
        <w:ind w:left="1276" w:hanging="567"/>
        <w:rPr>
          <w:rFonts w:ascii="Arial" w:hAnsi="Arial" w:cs="Arial"/>
          <w:lang w:val="en-US"/>
        </w:rPr>
      </w:pPr>
      <w:r w:rsidRPr="00D67BED">
        <w:rPr>
          <w:rFonts w:ascii="Arial" w:hAnsi="Arial" w:cs="Arial"/>
          <w:lang w:val="en-US"/>
        </w:rPr>
        <w:t>Increase awareness of the potential for TVWS technology in South Africa and across the continent.</w:t>
      </w:r>
    </w:p>
    <w:p w:rsidR="00DF3663" w:rsidRDefault="00D67BED" w:rsidP="00420282">
      <w:pPr>
        <w:spacing w:before="100" w:beforeAutospacing="1" w:after="100" w:afterAutospacing="1" w:line="240" w:lineRule="auto"/>
        <w:rPr>
          <w:rFonts w:ascii="Arial" w:hAnsi="Arial" w:cs="Arial"/>
          <w:lang w:val="en-US"/>
        </w:rPr>
      </w:pPr>
      <w:r w:rsidRPr="00D67BED">
        <w:rPr>
          <w:rFonts w:ascii="Arial" w:hAnsi="Arial" w:cs="Arial"/>
          <w:lang w:val="en-US"/>
        </w:rPr>
        <w:t xml:space="preserve">The partners periodically updated ICASA, </w:t>
      </w:r>
      <w:proofErr w:type="spellStart"/>
      <w:r w:rsidRPr="00D67BED">
        <w:rPr>
          <w:rFonts w:ascii="Arial" w:hAnsi="Arial" w:cs="Arial"/>
          <w:lang w:val="en-US"/>
        </w:rPr>
        <w:t>Sentech</w:t>
      </w:r>
      <w:proofErr w:type="spellEnd"/>
      <w:r w:rsidRPr="00D67BED">
        <w:rPr>
          <w:rFonts w:ascii="Arial" w:hAnsi="Arial" w:cs="Arial"/>
          <w:lang w:val="en-US"/>
        </w:rPr>
        <w:t>, the Joint Spectrum Advisory Group, broadcasters and other constituents on trial outcomes, including spectrum measurements and reported interference. The results of the trial are to be officially released at a Report Back event on November 8th, 2013 at the CSIR Building in Pretoria. </w:t>
      </w:r>
    </w:p>
    <w:p w:rsidR="00D67BED" w:rsidRPr="00884C95" w:rsidRDefault="006D244B" w:rsidP="003B2F1A">
      <w:pPr>
        <w:spacing w:before="100" w:beforeAutospacing="1" w:after="100" w:afterAutospacing="1" w:line="240" w:lineRule="auto"/>
        <w:ind w:left="360"/>
        <w:rPr>
          <w:rFonts w:ascii="Arial" w:hAnsi="Arial" w:cs="Arial"/>
          <w:lang w:val="en-US"/>
        </w:rPr>
      </w:pPr>
      <w:r>
        <w:rPr>
          <w:rFonts w:ascii="Arial" w:hAnsi="Arial" w:cs="Arial"/>
          <w:b/>
          <w:lang w:val="en-US"/>
        </w:rPr>
        <w:t>5</w:t>
      </w:r>
      <w:r w:rsidR="00DF3663" w:rsidRPr="00DF3663">
        <w:rPr>
          <w:rFonts w:ascii="Arial" w:hAnsi="Arial" w:cs="Arial"/>
          <w:b/>
          <w:lang w:val="en-US"/>
        </w:rPr>
        <w:t>.</w:t>
      </w:r>
      <w:r w:rsidR="00DF3663">
        <w:rPr>
          <w:rStyle w:val="Strong"/>
          <w:rFonts w:ascii="Arial" w:hAnsi="Arial" w:cs="Arial"/>
          <w:lang w:val="en-US"/>
        </w:rPr>
        <w:t>2</w:t>
      </w:r>
      <w:r w:rsidR="00DF3663">
        <w:rPr>
          <w:rStyle w:val="Strong"/>
          <w:rFonts w:ascii="Arial" w:hAnsi="Arial" w:cs="Arial"/>
          <w:lang w:val="en-US"/>
        </w:rPr>
        <w:tab/>
      </w:r>
      <w:r w:rsidR="00D67BED" w:rsidRPr="00884C95">
        <w:rPr>
          <w:rStyle w:val="Strong"/>
          <w:rFonts w:ascii="Arial" w:hAnsi="Arial" w:cs="Arial"/>
          <w:lang w:val="en-US"/>
        </w:rPr>
        <w:t>The Network</w:t>
      </w:r>
    </w:p>
    <w:p w:rsidR="00D67BED" w:rsidRDefault="00D67BED" w:rsidP="00D67BED">
      <w:pPr>
        <w:rPr>
          <w:rFonts w:ascii="Arial" w:hAnsi="Arial" w:cs="Arial"/>
          <w:lang w:val="en-US"/>
        </w:rPr>
      </w:pPr>
      <w:r w:rsidRPr="00884C95">
        <w:rPr>
          <w:rFonts w:ascii="Arial" w:hAnsi="Arial" w:cs="Arial"/>
          <w:lang w:val="en-US"/>
        </w:rPr>
        <w:t xml:space="preserve">The TVWS network </w:t>
      </w:r>
      <w:r w:rsidR="00884C95" w:rsidRPr="00884C95">
        <w:rPr>
          <w:rFonts w:ascii="Arial" w:hAnsi="Arial" w:cs="Arial"/>
          <w:lang w:val="en-US"/>
        </w:rPr>
        <w:t>consist</w:t>
      </w:r>
      <w:r w:rsidR="00884C95">
        <w:rPr>
          <w:rFonts w:ascii="Arial" w:hAnsi="Arial" w:cs="Arial"/>
          <w:lang w:val="en-US"/>
        </w:rPr>
        <w:t>s</w:t>
      </w:r>
      <w:r w:rsidRPr="00884C95">
        <w:rPr>
          <w:rFonts w:ascii="Arial" w:hAnsi="Arial" w:cs="Arial"/>
          <w:lang w:val="en-US"/>
        </w:rPr>
        <w:t xml:space="preserve"> of multiple base stations located at Stellenbosch University’s Faculty of Medicine and Health Sciences in </w:t>
      </w:r>
      <w:proofErr w:type="spellStart"/>
      <w:r w:rsidRPr="00884C95">
        <w:rPr>
          <w:rFonts w:ascii="Arial" w:hAnsi="Arial" w:cs="Arial"/>
          <w:lang w:val="en-US"/>
        </w:rPr>
        <w:t>Tygerburg</w:t>
      </w:r>
      <w:proofErr w:type="spellEnd"/>
      <w:r w:rsidRPr="00884C95">
        <w:rPr>
          <w:rFonts w:ascii="Arial" w:hAnsi="Arial" w:cs="Arial"/>
          <w:lang w:val="en-US"/>
        </w:rPr>
        <w:t>, Cape Town, which deliver broadband Internet service to ten schools within a 10 kilometer radius. The ten schools have been pre-selected based on proximity to the base station, local IT and network support, and other connectivity requirements. Each school receives dedicated 2.5 Mbps service with failover to ADSL in order to preven</w:t>
      </w:r>
      <w:r w:rsidR="00C0643D">
        <w:rPr>
          <w:rFonts w:ascii="Arial" w:hAnsi="Arial" w:cs="Arial"/>
          <w:lang w:val="en-US"/>
        </w:rPr>
        <w:t>t downtime during school hours.</w:t>
      </w:r>
    </w:p>
    <w:p w:rsidR="008A4AA8" w:rsidRPr="008A4AA8" w:rsidRDefault="006D244B" w:rsidP="00DF3663">
      <w:pPr>
        <w:ind w:left="426"/>
        <w:rPr>
          <w:rFonts w:ascii="Arial" w:hAnsi="Arial" w:cs="Arial"/>
          <w:lang w:val="en-US"/>
        </w:rPr>
      </w:pPr>
      <w:r>
        <w:rPr>
          <w:rFonts w:ascii="Arial" w:hAnsi="Arial" w:cs="Arial"/>
          <w:b/>
          <w:bCs/>
          <w:lang w:val="en-US"/>
        </w:rPr>
        <w:t>5</w:t>
      </w:r>
      <w:r w:rsidR="00DF3663">
        <w:rPr>
          <w:rFonts w:ascii="Arial" w:hAnsi="Arial" w:cs="Arial"/>
          <w:b/>
          <w:bCs/>
          <w:lang w:val="en-US"/>
        </w:rPr>
        <w:t>.3</w:t>
      </w:r>
      <w:r w:rsidR="00DF3663">
        <w:rPr>
          <w:rFonts w:ascii="Arial" w:hAnsi="Arial" w:cs="Arial"/>
          <w:b/>
          <w:bCs/>
          <w:lang w:val="en-US"/>
        </w:rPr>
        <w:tab/>
      </w:r>
      <w:r w:rsidR="008A4AA8" w:rsidRPr="008A4AA8">
        <w:rPr>
          <w:rFonts w:ascii="Arial" w:hAnsi="Arial" w:cs="Arial"/>
          <w:b/>
          <w:bCs/>
          <w:lang w:val="en-US"/>
        </w:rPr>
        <w:t>Network Status</w:t>
      </w:r>
    </w:p>
    <w:p w:rsidR="008A4AA8" w:rsidRPr="008A4AA8" w:rsidRDefault="008A4AA8" w:rsidP="008A4AA8">
      <w:pPr>
        <w:pStyle w:val="ListParagraph"/>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November 8, 2013: Trial Report Back event hosted with ICASA.</w:t>
      </w:r>
    </w:p>
    <w:p w:rsidR="008A4AA8" w:rsidRPr="008A4AA8" w:rsidRDefault="008A4AA8" w:rsidP="008A4AA8">
      <w:pPr>
        <w:pStyle w:val="ListParagraph"/>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September 25, 2013: The CT TVWS Trial officially ends*.  </w:t>
      </w:r>
    </w:p>
    <w:p w:rsidR="008A4AA8" w:rsidRPr="008A4AA8" w:rsidRDefault="008A4AA8" w:rsidP="008A4AA8">
      <w:pPr>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March 25, 2013: Network launch event hosted with ICASA.  </w:t>
      </w:r>
    </w:p>
    <w:p w:rsidR="008A4AA8" w:rsidRPr="008A4AA8" w:rsidRDefault="008A4AA8" w:rsidP="008A4AA8">
      <w:pPr>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January 2013: Network equipment is being installed, configured and tested in preparation for launch.  </w:t>
      </w:r>
    </w:p>
    <w:p w:rsidR="008A4AA8" w:rsidRPr="008A4AA8" w:rsidRDefault="008A4AA8" w:rsidP="008A4AA8">
      <w:pPr>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November 1 - 7, 2012: Completed pre-installations of network equipment at partner schools.</w:t>
      </w:r>
    </w:p>
    <w:p w:rsidR="008A4AA8" w:rsidRPr="008A4AA8" w:rsidRDefault="008A4AA8" w:rsidP="008A4AA8">
      <w:pPr>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October 15, 2012: 10 schools selected after extensive IT audits to meet network requirements.</w:t>
      </w:r>
    </w:p>
    <w:p w:rsidR="008A4AA8" w:rsidRPr="008A4AA8" w:rsidRDefault="008A4AA8" w:rsidP="008A4AA8">
      <w:pPr>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 xml:space="preserve">September 25, 2012: Selected WAPA member </w:t>
      </w:r>
      <w:proofErr w:type="spellStart"/>
      <w:r w:rsidRPr="008A4AA8">
        <w:rPr>
          <w:rFonts w:ascii="Arial" w:hAnsi="Arial" w:cs="Arial"/>
          <w:lang w:val="en-US"/>
        </w:rPr>
        <w:t>Comsol</w:t>
      </w:r>
      <w:proofErr w:type="spellEnd"/>
      <w:r w:rsidRPr="008A4AA8">
        <w:rPr>
          <w:rFonts w:ascii="Arial" w:hAnsi="Arial" w:cs="Arial"/>
          <w:lang w:val="en-US"/>
        </w:rPr>
        <w:t xml:space="preserve"> Wireless Solutions as the network system integrator.</w:t>
      </w:r>
    </w:p>
    <w:p w:rsidR="008A4AA8" w:rsidRPr="009E1C7E" w:rsidRDefault="008A4AA8" w:rsidP="009E1C7E">
      <w:pPr>
        <w:numPr>
          <w:ilvl w:val="0"/>
          <w:numId w:val="18"/>
        </w:numPr>
        <w:spacing w:before="100" w:beforeAutospacing="1" w:after="100" w:afterAutospacing="1" w:line="240" w:lineRule="auto"/>
        <w:rPr>
          <w:rFonts w:ascii="Arial" w:hAnsi="Arial" w:cs="Arial"/>
          <w:lang w:val="en-US"/>
        </w:rPr>
      </w:pPr>
      <w:r w:rsidRPr="008A4AA8">
        <w:rPr>
          <w:rFonts w:ascii="Arial" w:hAnsi="Arial" w:cs="Arial"/>
          <w:lang w:val="en-US"/>
        </w:rPr>
        <w:t xml:space="preserve">September 12, 2012: ICASA issues permission to </w:t>
      </w:r>
      <w:proofErr w:type="spellStart"/>
      <w:r w:rsidRPr="008A4AA8">
        <w:rPr>
          <w:rFonts w:ascii="Arial" w:hAnsi="Arial" w:cs="Arial"/>
          <w:lang w:val="en-US"/>
        </w:rPr>
        <w:t>Meraka</w:t>
      </w:r>
      <w:proofErr w:type="spellEnd"/>
      <w:r w:rsidRPr="008A4AA8">
        <w:rPr>
          <w:rFonts w:ascii="Arial" w:hAnsi="Arial" w:cs="Arial"/>
          <w:lang w:val="en-US"/>
        </w:rPr>
        <w:t xml:space="preserve"> and its partners to set up a TV White Space network in the Western Cape.</w:t>
      </w:r>
    </w:p>
    <w:p w:rsidR="008A4AA8" w:rsidRDefault="008A4AA8" w:rsidP="008A4AA8">
      <w:pPr>
        <w:rPr>
          <w:rFonts w:ascii="Arial" w:hAnsi="Arial" w:cs="Arial"/>
          <w:lang w:val="en-US"/>
        </w:rPr>
      </w:pPr>
      <w:r w:rsidRPr="008A4AA8">
        <w:rPr>
          <w:rFonts w:ascii="Arial" w:hAnsi="Arial" w:cs="Arial"/>
          <w:lang w:val="en-US"/>
        </w:rPr>
        <w:t xml:space="preserve">*Although the Trial has ended, on August 28, 2013, ICASA accepted a set of recommendations by </w:t>
      </w:r>
      <w:proofErr w:type="spellStart"/>
      <w:r w:rsidRPr="008A4AA8">
        <w:rPr>
          <w:rFonts w:ascii="Arial" w:hAnsi="Arial" w:cs="Arial"/>
          <w:lang w:val="en-US"/>
        </w:rPr>
        <w:t>Meraka</w:t>
      </w:r>
      <w:proofErr w:type="spellEnd"/>
      <w:r w:rsidRPr="008A4AA8">
        <w:rPr>
          <w:rFonts w:ascii="Arial" w:hAnsi="Arial" w:cs="Arial"/>
          <w:lang w:val="en-US"/>
        </w:rPr>
        <w:t>, specifically to allow the Trial network to remain operational, providing broadband to schools.</w:t>
      </w:r>
    </w:p>
    <w:p w:rsidR="008A4AA8" w:rsidRPr="008A4AA8" w:rsidRDefault="006D244B" w:rsidP="00DF3663">
      <w:pPr>
        <w:ind w:left="426"/>
        <w:rPr>
          <w:rStyle w:val="Strong"/>
          <w:rFonts w:ascii="Arial" w:hAnsi="Arial" w:cs="Arial"/>
          <w:lang w:val="en-US"/>
        </w:rPr>
      </w:pPr>
      <w:r>
        <w:rPr>
          <w:rFonts w:ascii="Arial" w:hAnsi="Arial" w:cs="Arial"/>
          <w:b/>
          <w:lang w:val="en-US"/>
        </w:rPr>
        <w:t>5</w:t>
      </w:r>
      <w:r w:rsidR="00DF3663" w:rsidRPr="00DF3663">
        <w:rPr>
          <w:rFonts w:ascii="Arial" w:hAnsi="Arial" w:cs="Arial"/>
          <w:b/>
          <w:lang w:val="en-US"/>
        </w:rPr>
        <w:t>.4</w:t>
      </w:r>
      <w:r w:rsidR="00DF3663">
        <w:rPr>
          <w:rFonts w:ascii="Arial" w:hAnsi="Arial" w:cs="Arial"/>
          <w:lang w:val="en-US"/>
        </w:rPr>
        <w:tab/>
      </w:r>
      <w:r w:rsidR="008A4AA8" w:rsidRPr="008A4AA8">
        <w:rPr>
          <w:rStyle w:val="Strong"/>
          <w:rFonts w:ascii="Arial" w:hAnsi="Arial" w:cs="Arial"/>
          <w:lang w:val="en-US"/>
        </w:rPr>
        <w:t>TVWS Interference Management Protocol</w:t>
      </w:r>
    </w:p>
    <w:p w:rsidR="008A4AA8" w:rsidRPr="008A4AA8" w:rsidRDefault="008A4AA8" w:rsidP="008A4AA8">
      <w:pPr>
        <w:rPr>
          <w:rFonts w:ascii="Arial" w:hAnsi="Arial" w:cs="Arial"/>
          <w:lang w:val="en-US"/>
        </w:rPr>
      </w:pPr>
      <w:r w:rsidRPr="008A4AA8">
        <w:rPr>
          <w:rFonts w:ascii="Arial" w:hAnsi="Arial" w:cs="Arial"/>
          <w:lang w:val="en-US"/>
        </w:rPr>
        <w:t xml:space="preserve">The purpose of the trial </w:t>
      </w:r>
      <w:r w:rsidR="00F649DB">
        <w:rPr>
          <w:rFonts w:ascii="Arial" w:hAnsi="Arial" w:cs="Arial"/>
          <w:lang w:val="en-US"/>
        </w:rPr>
        <w:t>wa</w:t>
      </w:r>
      <w:r w:rsidRPr="008A4AA8">
        <w:rPr>
          <w:rFonts w:ascii="Arial" w:hAnsi="Arial" w:cs="Arial"/>
          <w:lang w:val="en-US"/>
        </w:rPr>
        <w:t xml:space="preserve">s to establish whether interference is caused, and we have reporting mechanisms built into the trial. If someone’s TV signal is interfered with, they should report it to their TV service provider, as they normally would.  All reported instances will be checked and accounted for based on the </w:t>
      </w:r>
      <w:r w:rsidR="003C0764">
        <w:fldChar w:fldCharType="begin"/>
      </w:r>
      <w:r w:rsidR="003C0764" w:rsidRPr="009F7E14">
        <w:rPr>
          <w:lang w:val="en-US"/>
          <w:rPrChange w:id="3" w:author="Thomas Weber" w:date="2015-02-17T08:35:00Z">
            <w:rPr/>
          </w:rPrChange>
        </w:rPr>
        <w:instrText xml:space="preserve"> HYPERLINK "http://www.tenet.ac.za/tvws/tvws-trial-interference-management-protocol-v10.pdf" </w:instrText>
      </w:r>
      <w:r w:rsidR="003C0764">
        <w:fldChar w:fldCharType="separate"/>
      </w:r>
      <w:r w:rsidRPr="008A4AA8">
        <w:rPr>
          <w:rStyle w:val="Hyperlink"/>
          <w:rFonts w:ascii="Arial" w:hAnsi="Arial" w:cs="Arial"/>
          <w:lang w:val="en-US"/>
        </w:rPr>
        <w:t>TVWS Interference Management Protocol</w:t>
      </w:r>
      <w:r w:rsidR="003C0764">
        <w:rPr>
          <w:rStyle w:val="Hyperlink"/>
          <w:rFonts w:ascii="Arial" w:hAnsi="Arial" w:cs="Arial"/>
          <w:lang w:val="en-US"/>
        </w:rPr>
        <w:fldChar w:fldCharType="end"/>
      </w:r>
      <w:r w:rsidRPr="008A4AA8">
        <w:rPr>
          <w:rFonts w:ascii="Arial" w:hAnsi="Arial" w:cs="Arial"/>
          <w:lang w:val="en-US"/>
        </w:rPr>
        <w:t>.</w:t>
      </w:r>
    </w:p>
    <w:p w:rsidR="00184F7F" w:rsidRPr="0075572D" w:rsidRDefault="00184F7F" w:rsidP="0075572D">
      <w:pPr>
        <w:rPr>
          <w:rFonts w:ascii="Arial" w:hAnsi="Arial" w:cs="Arial"/>
          <w:lang w:val="en-GB"/>
        </w:rPr>
      </w:pPr>
    </w:p>
    <w:sectPr w:rsidR="00184F7F" w:rsidRPr="0075572D" w:rsidSect="009E1C7E">
      <w:headerReference w:type="default" r:id="rId1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6D3" w:rsidRDefault="006E06D3" w:rsidP="005648F3">
      <w:pPr>
        <w:spacing w:after="0" w:line="240" w:lineRule="auto"/>
      </w:pPr>
      <w:r>
        <w:separator/>
      </w:r>
    </w:p>
  </w:endnote>
  <w:endnote w:type="continuationSeparator" w:id="0">
    <w:p w:rsidR="006E06D3" w:rsidRDefault="006E06D3" w:rsidP="00564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6D3" w:rsidRDefault="006E06D3" w:rsidP="005648F3">
      <w:pPr>
        <w:spacing w:after="0" w:line="240" w:lineRule="auto"/>
      </w:pPr>
      <w:r>
        <w:separator/>
      </w:r>
    </w:p>
  </w:footnote>
  <w:footnote w:type="continuationSeparator" w:id="0">
    <w:p w:rsidR="006E06D3" w:rsidRDefault="006E06D3" w:rsidP="005648F3">
      <w:pPr>
        <w:spacing w:after="0" w:line="240" w:lineRule="auto"/>
      </w:pPr>
      <w:r>
        <w:continuationSeparator/>
      </w:r>
    </w:p>
  </w:footnote>
  <w:footnote w:id="1">
    <w:p w:rsidR="00323F17" w:rsidRPr="00323F17" w:rsidRDefault="00323F17">
      <w:pPr>
        <w:pStyle w:val="FootnoteText"/>
        <w:rPr>
          <w:lang w:val="en-GB"/>
        </w:rPr>
      </w:pPr>
      <w:r>
        <w:rPr>
          <w:rStyle w:val="FootnoteReference"/>
        </w:rPr>
        <w:footnoteRef/>
      </w:r>
      <w:r w:rsidRPr="00323F17">
        <w:rPr>
          <w:lang w:val="en-GB"/>
        </w:rPr>
        <w:t xml:space="preserve"> </w:t>
      </w:r>
      <w:r w:rsidRPr="002A094E">
        <w:rPr>
          <w:sz w:val="18"/>
          <w:szCs w:val="18"/>
          <w:lang w:val="en-US"/>
        </w:rPr>
        <w:t xml:space="preserve">In December 2013, the </w:t>
      </w:r>
      <w:r>
        <w:rPr>
          <w:sz w:val="18"/>
          <w:szCs w:val="18"/>
          <w:lang w:val="en-US"/>
        </w:rPr>
        <w:t>FCC</w:t>
      </w:r>
      <w:r w:rsidRPr="002A094E">
        <w:rPr>
          <w:sz w:val="18"/>
          <w:szCs w:val="18"/>
          <w:lang w:val="en-US"/>
        </w:rPr>
        <w:t xml:space="preserve"> pushed back the start of the auction to mid-2015 from sometime in 2014</w:t>
      </w:r>
      <w:r>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E14" w:rsidRDefault="002D1ACC">
    <w:pPr>
      <w:pStyle w:val="Header"/>
    </w:pPr>
    <w:r>
      <w:t xml:space="preserve">Edition: </w:t>
    </w:r>
    <w:r w:rsidR="009F7E14">
      <w:t>February 201</w:t>
    </w:r>
    <w:r w:rsidR="009268FE">
      <w:t>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50A7"/>
    <w:multiLevelType w:val="multilevel"/>
    <w:tmpl w:val="A14A0710"/>
    <w:lvl w:ilvl="0">
      <w:start w:val="3"/>
      <w:numFmt w:val="decimal"/>
      <w:lvlText w:val="%1"/>
      <w:lvlJc w:val="left"/>
      <w:pPr>
        <w:ind w:left="360" w:hanging="360"/>
      </w:pPr>
      <w:rPr>
        <w:rFonts w:hint="default"/>
      </w:rPr>
    </w:lvl>
    <w:lvl w:ilvl="1">
      <w:start w:val="1"/>
      <w:numFmt w:val="upp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903F03"/>
    <w:multiLevelType w:val="hybridMultilevel"/>
    <w:tmpl w:val="696815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BCE1C6D"/>
    <w:multiLevelType w:val="hybridMultilevel"/>
    <w:tmpl w:val="4FE69A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3D517A"/>
    <w:multiLevelType w:val="hybridMultilevel"/>
    <w:tmpl w:val="DCBE12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3C810FE"/>
    <w:multiLevelType w:val="multilevel"/>
    <w:tmpl w:val="4770EF8A"/>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
    <w:nsid w:val="14B92AEA"/>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6">
    <w:nsid w:val="1C436114"/>
    <w:multiLevelType w:val="multilevel"/>
    <w:tmpl w:val="26CA6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196B60"/>
    <w:multiLevelType w:val="multilevel"/>
    <w:tmpl w:val="388E2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805A23"/>
    <w:multiLevelType w:val="hybridMultilevel"/>
    <w:tmpl w:val="CD16467A"/>
    <w:lvl w:ilvl="0" w:tplc="04060001">
      <w:start w:val="1"/>
      <w:numFmt w:val="bullet"/>
      <w:lvlText w:val=""/>
      <w:lvlJc w:val="left"/>
      <w:pPr>
        <w:ind w:left="360" w:hanging="360"/>
      </w:pPr>
      <w:rPr>
        <w:rFonts w:ascii="Symbol" w:hAnsi="Symbol" w:hint="default"/>
      </w:rPr>
    </w:lvl>
    <w:lvl w:ilvl="1" w:tplc="BDEA3616">
      <w:numFmt w:val="bullet"/>
      <w:lvlText w:val="–"/>
      <w:lvlJc w:val="left"/>
      <w:pPr>
        <w:ind w:left="1080" w:hanging="360"/>
      </w:pPr>
      <w:rPr>
        <w:rFonts w:ascii="Arial" w:eastAsia="Times New Roman" w:hAnsi="Arial"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nsid w:val="346B308D"/>
    <w:multiLevelType w:val="multilevel"/>
    <w:tmpl w:val="AA3AE850"/>
    <w:lvl w:ilvl="0">
      <w:start w:val="1"/>
      <w:numFmt w:val="decimal"/>
      <w:lvlText w:val="%1"/>
      <w:lvlJc w:val="left"/>
      <w:pPr>
        <w:ind w:left="360" w:hanging="360"/>
      </w:pPr>
      <w:rPr>
        <w:rFonts w:hint="default"/>
      </w:rPr>
    </w:lvl>
    <w:lvl w:ilvl="1">
      <w:start w:val="1"/>
      <w:numFmt w:val="decimal"/>
      <w:lvlText w:val="%1.%2"/>
      <w:lvlJc w:val="left"/>
      <w:pPr>
        <w:ind w:left="1665" w:hanging="360"/>
      </w:pPr>
      <w:rPr>
        <w:rFonts w:hint="default"/>
      </w:rPr>
    </w:lvl>
    <w:lvl w:ilvl="2">
      <w:start w:val="1"/>
      <w:numFmt w:val="decimal"/>
      <w:lvlText w:val="%1.%2.%3"/>
      <w:lvlJc w:val="left"/>
      <w:pPr>
        <w:ind w:left="3330" w:hanging="720"/>
      </w:pPr>
      <w:rPr>
        <w:rFonts w:hint="default"/>
      </w:rPr>
    </w:lvl>
    <w:lvl w:ilvl="3">
      <w:start w:val="1"/>
      <w:numFmt w:val="decimal"/>
      <w:lvlText w:val="%1.%2.%3.%4"/>
      <w:lvlJc w:val="left"/>
      <w:pPr>
        <w:ind w:left="4635" w:hanging="720"/>
      </w:pPr>
      <w:rPr>
        <w:rFonts w:hint="default"/>
      </w:rPr>
    </w:lvl>
    <w:lvl w:ilvl="4">
      <w:start w:val="1"/>
      <w:numFmt w:val="decimal"/>
      <w:lvlText w:val="%1.%2.%3.%4.%5"/>
      <w:lvlJc w:val="left"/>
      <w:pPr>
        <w:ind w:left="6300" w:hanging="1080"/>
      </w:pPr>
      <w:rPr>
        <w:rFonts w:hint="default"/>
      </w:rPr>
    </w:lvl>
    <w:lvl w:ilvl="5">
      <w:start w:val="1"/>
      <w:numFmt w:val="decimal"/>
      <w:lvlText w:val="%1.%2.%3.%4.%5.%6"/>
      <w:lvlJc w:val="left"/>
      <w:pPr>
        <w:ind w:left="7605" w:hanging="1080"/>
      </w:pPr>
      <w:rPr>
        <w:rFonts w:hint="default"/>
      </w:rPr>
    </w:lvl>
    <w:lvl w:ilvl="6">
      <w:start w:val="1"/>
      <w:numFmt w:val="decimal"/>
      <w:lvlText w:val="%1.%2.%3.%4.%5.%6.%7"/>
      <w:lvlJc w:val="left"/>
      <w:pPr>
        <w:ind w:left="9270" w:hanging="1440"/>
      </w:pPr>
      <w:rPr>
        <w:rFonts w:hint="default"/>
      </w:rPr>
    </w:lvl>
    <w:lvl w:ilvl="7">
      <w:start w:val="1"/>
      <w:numFmt w:val="decimal"/>
      <w:lvlText w:val="%1.%2.%3.%4.%5.%6.%7.%8"/>
      <w:lvlJc w:val="left"/>
      <w:pPr>
        <w:ind w:left="10575" w:hanging="1440"/>
      </w:pPr>
      <w:rPr>
        <w:rFonts w:hint="default"/>
      </w:rPr>
    </w:lvl>
    <w:lvl w:ilvl="8">
      <w:start w:val="1"/>
      <w:numFmt w:val="decimal"/>
      <w:lvlText w:val="%1.%2.%3.%4.%5.%6.%7.%8.%9"/>
      <w:lvlJc w:val="left"/>
      <w:pPr>
        <w:ind w:left="12240" w:hanging="1800"/>
      </w:pPr>
      <w:rPr>
        <w:rFonts w:hint="default"/>
      </w:rPr>
    </w:lvl>
  </w:abstractNum>
  <w:abstractNum w:abstractNumId="10">
    <w:nsid w:val="354D12F0"/>
    <w:multiLevelType w:val="multilevel"/>
    <w:tmpl w:val="880EF6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AC6DD9"/>
    <w:multiLevelType w:val="hybridMultilevel"/>
    <w:tmpl w:val="B50298B2"/>
    <w:lvl w:ilvl="0" w:tplc="04060013">
      <w:start w:val="1"/>
      <w:numFmt w:val="upperRoman"/>
      <w:lvlText w:val="%1."/>
      <w:lvlJc w:val="right"/>
      <w:pPr>
        <w:ind w:left="1146" w:hanging="360"/>
      </w:p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nsid w:val="427D064D"/>
    <w:multiLevelType w:val="hybridMultilevel"/>
    <w:tmpl w:val="CFB281BC"/>
    <w:lvl w:ilvl="0" w:tplc="0406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431409D6"/>
    <w:multiLevelType w:val="hybridMultilevel"/>
    <w:tmpl w:val="F7844224"/>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nsid w:val="47293739"/>
    <w:multiLevelType w:val="hybridMultilevel"/>
    <w:tmpl w:val="6832C5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7EA1E77"/>
    <w:multiLevelType w:val="multilevel"/>
    <w:tmpl w:val="E40E6F0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93F3106"/>
    <w:multiLevelType w:val="hybridMultilevel"/>
    <w:tmpl w:val="3D321FFE"/>
    <w:lvl w:ilvl="0" w:tplc="322C318C">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53BF04BB"/>
    <w:multiLevelType w:val="hybridMultilevel"/>
    <w:tmpl w:val="2D129BC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5AE4ACF"/>
    <w:multiLevelType w:val="hybridMultilevel"/>
    <w:tmpl w:val="535C7E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5535BC2"/>
    <w:multiLevelType w:val="hybridMultilevel"/>
    <w:tmpl w:val="EF2033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666A40D6"/>
    <w:multiLevelType w:val="hybridMultilevel"/>
    <w:tmpl w:val="25C44A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67754722"/>
    <w:multiLevelType w:val="hybridMultilevel"/>
    <w:tmpl w:val="69AC66FE"/>
    <w:lvl w:ilvl="0" w:tplc="02C0FFA0">
      <w:start w:val="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C41410C"/>
    <w:multiLevelType w:val="hybridMultilevel"/>
    <w:tmpl w:val="5DA03C6E"/>
    <w:lvl w:ilvl="0" w:tplc="7F8CB66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CAD74B4"/>
    <w:multiLevelType w:val="multilevel"/>
    <w:tmpl w:val="A620AE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nsid w:val="6DF76189"/>
    <w:multiLevelType w:val="multilevel"/>
    <w:tmpl w:val="033C91C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707767BF"/>
    <w:multiLevelType w:val="multilevel"/>
    <w:tmpl w:val="9CA29360"/>
    <w:lvl w:ilvl="0">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6">
    <w:nsid w:val="72B72031"/>
    <w:multiLevelType w:val="hybridMultilevel"/>
    <w:tmpl w:val="7C483E3C"/>
    <w:lvl w:ilvl="0" w:tplc="BDEA3616">
      <w:numFmt w:val="bullet"/>
      <w:lvlText w:val="–"/>
      <w:lvlJc w:val="left"/>
      <w:pPr>
        <w:ind w:left="360" w:hanging="360"/>
      </w:pPr>
      <w:rPr>
        <w:rFonts w:ascii="Arial" w:eastAsia="Times New Roman" w:hAnsi="Arial" w:cs="Arial" w:hint="default"/>
      </w:rPr>
    </w:lvl>
    <w:lvl w:ilvl="1" w:tplc="04060003" w:tentative="1">
      <w:start w:val="1"/>
      <w:numFmt w:val="bullet"/>
      <w:lvlText w:val="o"/>
      <w:lvlJc w:val="left"/>
      <w:pPr>
        <w:ind w:left="720" w:hanging="360"/>
      </w:pPr>
      <w:rPr>
        <w:rFonts w:ascii="Courier New" w:hAnsi="Courier New" w:cs="Courier New" w:hint="default"/>
      </w:rPr>
    </w:lvl>
    <w:lvl w:ilvl="2" w:tplc="04060005" w:tentative="1">
      <w:start w:val="1"/>
      <w:numFmt w:val="bullet"/>
      <w:lvlText w:val=""/>
      <w:lvlJc w:val="left"/>
      <w:pPr>
        <w:ind w:left="1440" w:hanging="360"/>
      </w:pPr>
      <w:rPr>
        <w:rFonts w:ascii="Wingdings" w:hAnsi="Wingdings" w:hint="default"/>
      </w:rPr>
    </w:lvl>
    <w:lvl w:ilvl="3" w:tplc="04060001" w:tentative="1">
      <w:start w:val="1"/>
      <w:numFmt w:val="bullet"/>
      <w:lvlText w:val=""/>
      <w:lvlJc w:val="left"/>
      <w:pPr>
        <w:ind w:left="2160" w:hanging="360"/>
      </w:pPr>
      <w:rPr>
        <w:rFonts w:ascii="Symbol" w:hAnsi="Symbol" w:hint="default"/>
      </w:rPr>
    </w:lvl>
    <w:lvl w:ilvl="4" w:tplc="04060003" w:tentative="1">
      <w:start w:val="1"/>
      <w:numFmt w:val="bullet"/>
      <w:lvlText w:val="o"/>
      <w:lvlJc w:val="left"/>
      <w:pPr>
        <w:ind w:left="2880" w:hanging="360"/>
      </w:pPr>
      <w:rPr>
        <w:rFonts w:ascii="Courier New" w:hAnsi="Courier New" w:cs="Courier New" w:hint="default"/>
      </w:rPr>
    </w:lvl>
    <w:lvl w:ilvl="5" w:tplc="04060005" w:tentative="1">
      <w:start w:val="1"/>
      <w:numFmt w:val="bullet"/>
      <w:lvlText w:val=""/>
      <w:lvlJc w:val="left"/>
      <w:pPr>
        <w:ind w:left="3600" w:hanging="360"/>
      </w:pPr>
      <w:rPr>
        <w:rFonts w:ascii="Wingdings" w:hAnsi="Wingdings" w:hint="default"/>
      </w:rPr>
    </w:lvl>
    <w:lvl w:ilvl="6" w:tplc="04060001" w:tentative="1">
      <w:start w:val="1"/>
      <w:numFmt w:val="bullet"/>
      <w:lvlText w:val=""/>
      <w:lvlJc w:val="left"/>
      <w:pPr>
        <w:ind w:left="4320" w:hanging="360"/>
      </w:pPr>
      <w:rPr>
        <w:rFonts w:ascii="Symbol" w:hAnsi="Symbol" w:hint="default"/>
      </w:rPr>
    </w:lvl>
    <w:lvl w:ilvl="7" w:tplc="04060003" w:tentative="1">
      <w:start w:val="1"/>
      <w:numFmt w:val="bullet"/>
      <w:lvlText w:val="o"/>
      <w:lvlJc w:val="left"/>
      <w:pPr>
        <w:ind w:left="5040" w:hanging="360"/>
      </w:pPr>
      <w:rPr>
        <w:rFonts w:ascii="Courier New" w:hAnsi="Courier New" w:cs="Courier New" w:hint="default"/>
      </w:rPr>
    </w:lvl>
    <w:lvl w:ilvl="8" w:tplc="04060005" w:tentative="1">
      <w:start w:val="1"/>
      <w:numFmt w:val="bullet"/>
      <w:lvlText w:val=""/>
      <w:lvlJc w:val="left"/>
      <w:pPr>
        <w:ind w:left="5760" w:hanging="360"/>
      </w:pPr>
      <w:rPr>
        <w:rFonts w:ascii="Wingdings" w:hAnsi="Wingdings" w:hint="default"/>
      </w:rPr>
    </w:lvl>
  </w:abstractNum>
  <w:abstractNum w:abstractNumId="27">
    <w:nsid w:val="76091136"/>
    <w:multiLevelType w:val="hybridMultilevel"/>
    <w:tmpl w:val="EC38BD7A"/>
    <w:lvl w:ilvl="0" w:tplc="8E086DAA">
      <w:start w:val="1"/>
      <w:numFmt w:val="decimal"/>
      <w:lvlText w:val="%1."/>
      <w:lvlJc w:val="left"/>
      <w:pPr>
        <w:ind w:left="927" w:hanging="360"/>
      </w:pPr>
      <w:rPr>
        <w:rFonts w:cs="Times New Roman" w:hint="default"/>
        <w:sz w:val="28"/>
        <w:u w:val="none"/>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8">
    <w:nsid w:val="773219E3"/>
    <w:multiLevelType w:val="multilevel"/>
    <w:tmpl w:val="A0B6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6C4200"/>
    <w:multiLevelType w:val="hybridMultilevel"/>
    <w:tmpl w:val="670815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7"/>
  </w:num>
  <w:num w:numId="5">
    <w:abstractNumId w:val="13"/>
  </w:num>
  <w:num w:numId="6">
    <w:abstractNumId w:val="24"/>
  </w:num>
  <w:num w:numId="7">
    <w:abstractNumId w:val="17"/>
  </w:num>
  <w:num w:numId="8">
    <w:abstractNumId w:val="3"/>
  </w:num>
  <w:num w:numId="9">
    <w:abstractNumId w:val="29"/>
  </w:num>
  <w:num w:numId="10">
    <w:abstractNumId w:val="19"/>
  </w:num>
  <w:num w:numId="11">
    <w:abstractNumId w:val="8"/>
  </w:num>
  <w:num w:numId="12">
    <w:abstractNumId w:val="26"/>
  </w:num>
  <w:num w:numId="13">
    <w:abstractNumId w:val="18"/>
  </w:num>
  <w:num w:numId="14">
    <w:abstractNumId w:val="14"/>
  </w:num>
  <w:num w:numId="15">
    <w:abstractNumId w:val="1"/>
  </w:num>
  <w:num w:numId="16">
    <w:abstractNumId w:val="6"/>
  </w:num>
  <w:num w:numId="17">
    <w:abstractNumId w:val="10"/>
  </w:num>
  <w:num w:numId="18">
    <w:abstractNumId w:val="28"/>
  </w:num>
  <w:num w:numId="19">
    <w:abstractNumId w:val="25"/>
  </w:num>
  <w:num w:numId="20">
    <w:abstractNumId w:val="23"/>
  </w:num>
  <w:num w:numId="21">
    <w:abstractNumId w:val="7"/>
  </w:num>
  <w:num w:numId="22">
    <w:abstractNumId w:val="0"/>
  </w:num>
  <w:num w:numId="23">
    <w:abstractNumId w:val="22"/>
  </w:num>
  <w:num w:numId="24">
    <w:abstractNumId w:val="11"/>
  </w:num>
  <w:num w:numId="25">
    <w:abstractNumId w:val="12"/>
  </w:num>
  <w:num w:numId="26">
    <w:abstractNumId w:val="21"/>
  </w:num>
  <w:num w:numId="27">
    <w:abstractNumId w:val="20"/>
  </w:num>
  <w:num w:numId="28">
    <w:abstractNumId w:val="2"/>
  </w:num>
  <w:num w:numId="29">
    <w:abstractNumId w:val="15"/>
  </w:num>
  <w:num w:numId="30">
    <w:abstractNumId w:val="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8F3"/>
    <w:rsid w:val="00001B33"/>
    <w:rsid w:val="00073765"/>
    <w:rsid w:val="000C2BE7"/>
    <w:rsid w:val="000D3897"/>
    <w:rsid w:val="000F746A"/>
    <w:rsid w:val="00101C62"/>
    <w:rsid w:val="0010556E"/>
    <w:rsid w:val="00137EDA"/>
    <w:rsid w:val="00177CEF"/>
    <w:rsid w:val="00184F7F"/>
    <w:rsid w:val="001A163C"/>
    <w:rsid w:val="001C3917"/>
    <w:rsid w:val="001E4455"/>
    <w:rsid w:val="001F5BEB"/>
    <w:rsid w:val="00231AF9"/>
    <w:rsid w:val="00272A27"/>
    <w:rsid w:val="0028194D"/>
    <w:rsid w:val="00294761"/>
    <w:rsid w:val="002A732B"/>
    <w:rsid w:val="002C1C21"/>
    <w:rsid w:val="002D1ACC"/>
    <w:rsid w:val="002F1117"/>
    <w:rsid w:val="003019A2"/>
    <w:rsid w:val="00316B0A"/>
    <w:rsid w:val="00321078"/>
    <w:rsid w:val="00323F17"/>
    <w:rsid w:val="00342A23"/>
    <w:rsid w:val="00344BB2"/>
    <w:rsid w:val="00372509"/>
    <w:rsid w:val="003B070B"/>
    <w:rsid w:val="003B1DA7"/>
    <w:rsid w:val="003B2F1A"/>
    <w:rsid w:val="003C0764"/>
    <w:rsid w:val="003F37B9"/>
    <w:rsid w:val="003F39A6"/>
    <w:rsid w:val="003F6D5D"/>
    <w:rsid w:val="00420282"/>
    <w:rsid w:val="00423E4A"/>
    <w:rsid w:val="00436818"/>
    <w:rsid w:val="00491724"/>
    <w:rsid w:val="005648F3"/>
    <w:rsid w:val="00570B8C"/>
    <w:rsid w:val="00577B4E"/>
    <w:rsid w:val="00603001"/>
    <w:rsid w:val="00607FAD"/>
    <w:rsid w:val="00627866"/>
    <w:rsid w:val="006611DB"/>
    <w:rsid w:val="0066132A"/>
    <w:rsid w:val="006748BF"/>
    <w:rsid w:val="006B6463"/>
    <w:rsid w:val="006D244B"/>
    <w:rsid w:val="006E06D3"/>
    <w:rsid w:val="00711EC4"/>
    <w:rsid w:val="00727704"/>
    <w:rsid w:val="0075572D"/>
    <w:rsid w:val="00775E0E"/>
    <w:rsid w:val="007B6B90"/>
    <w:rsid w:val="007C72A3"/>
    <w:rsid w:val="007F7D26"/>
    <w:rsid w:val="00804A63"/>
    <w:rsid w:val="008409D6"/>
    <w:rsid w:val="00847933"/>
    <w:rsid w:val="0086716F"/>
    <w:rsid w:val="00876534"/>
    <w:rsid w:val="00884C95"/>
    <w:rsid w:val="008A4AA8"/>
    <w:rsid w:val="008F6A5D"/>
    <w:rsid w:val="00902BFE"/>
    <w:rsid w:val="00910A53"/>
    <w:rsid w:val="009268FE"/>
    <w:rsid w:val="009412B4"/>
    <w:rsid w:val="00960340"/>
    <w:rsid w:val="00972D2D"/>
    <w:rsid w:val="00983A04"/>
    <w:rsid w:val="009D2DC5"/>
    <w:rsid w:val="009E1C7E"/>
    <w:rsid w:val="009E7FB9"/>
    <w:rsid w:val="009F7E14"/>
    <w:rsid w:val="00A543AA"/>
    <w:rsid w:val="00A94E12"/>
    <w:rsid w:val="00AA46D7"/>
    <w:rsid w:val="00AB45F3"/>
    <w:rsid w:val="00AC39EE"/>
    <w:rsid w:val="00AD215E"/>
    <w:rsid w:val="00AD2349"/>
    <w:rsid w:val="00AE64D8"/>
    <w:rsid w:val="00B0116E"/>
    <w:rsid w:val="00B160A2"/>
    <w:rsid w:val="00B16495"/>
    <w:rsid w:val="00B25607"/>
    <w:rsid w:val="00B527E0"/>
    <w:rsid w:val="00B81952"/>
    <w:rsid w:val="00B8286A"/>
    <w:rsid w:val="00B86387"/>
    <w:rsid w:val="00BD4D77"/>
    <w:rsid w:val="00BE01D8"/>
    <w:rsid w:val="00BE43C7"/>
    <w:rsid w:val="00C00615"/>
    <w:rsid w:val="00C0643D"/>
    <w:rsid w:val="00C06A56"/>
    <w:rsid w:val="00C5383B"/>
    <w:rsid w:val="00CD2C0A"/>
    <w:rsid w:val="00CD2DA7"/>
    <w:rsid w:val="00CD7DD0"/>
    <w:rsid w:val="00D31B48"/>
    <w:rsid w:val="00D46CEF"/>
    <w:rsid w:val="00D62644"/>
    <w:rsid w:val="00D67BED"/>
    <w:rsid w:val="00D718B9"/>
    <w:rsid w:val="00D75E08"/>
    <w:rsid w:val="00D954BE"/>
    <w:rsid w:val="00DB7FE8"/>
    <w:rsid w:val="00DC17EC"/>
    <w:rsid w:val="00DC3326"/>
    <w:rsid w:val="00DE2845"/>
    <w:rsid w:val="00DF3663"/>
    <w:rsid w:val="00E606E8"/>
    <w:rsid w:val="00EB591B"/>
    <w:rsid w:val="00ED17D8"/>
    <w:rsid w:val="00EE7473"/>
    <w:rsid w:val="00F15F54"/>
    <w:rsid w:val="00F253DC"/>
    <w:rsid w:val="00F57169"/>
    <w:rsid w:val="00F616C4"/>
    <w:rsid w:val="00F649DB"/>
    <w:rsid w:val="00F66939"/>
    <w:rsid w:val="00F84821"/>
    <w:rsid w:val="00F86796"/>
    <w:rsid w:val="00F87BA0"/>
    <w:rsid w:val="00FA15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ECC Heading 1"/>
    <w:basedOn w:val="Normal"/>
    <w:next w:val="Normal"/>
    <w:link w:val="Heading1Char"/>
    <w:uiPriority w:val="99"/>
    <w:qFormat/>
    <w:rsid w:val="00DB7FE8"/>
    <w:pPr>
      <w:numPr>
        <w:numId w:val="19"/>
      </w:numPr>
      <w:tabs>
        <w:tab w:val="left" w:pos="851"/>
      </w:tabs>
      <w:spacing w:before="360" w:after="120" w:line="240" w:lineRule="auto"/>
      <w:outlineLvl w:val="0"/>
    </w:pPr>
    <w:rPr>
      <w:rFonts w:ascii="Arial" w:eastAsia="Times New Roman" w:hAnsi="Arial" w:cs="Arial"/>
      <w:b/>
      <w:sz w:val="28"/>
      <w:szCs w:val="28"/>
      <w:lang w:val="en-GB" w:eastAsia="de-DE"/>
    </w:rPr>
  </w:style>
  <w:style w:type="paragraph" w:styleId="Heading2">
    <w:name w:val="heading 2"/>
    <w:aliases w:val="ECC Heading 2"/>
    <w:basedOn w:val="Heading1"/>
    <w:next w:val="Normal"/>
    <w:link w:val="Heading2Char"/>
    <w:uiPriority w:val="99"/>
    <w:qFormat/>
    <w:rsid w:val="00DB7FE8"/>
    <w:pPr>
      <w:numPr>
        <w:ilvl w:val="1"/>
      </w:numPr>
      <w:spacing w:before="120"/>
      <w:outlineLvl w:val="1"/>
    </w:pPr>
    <w:rPr>
      <w:sz w:val="24"/>
    </w:rPr>
  </w:style>
  <w:style w:type="paragraph" w:styleId="Heading3">
    <w:name w:val="heading 3"/>
    <w:aliases w:val="ECC Heading 3"/>
    <w:basedOn w:val="Heading2"/>
    <w:next w:val="Normal"/>
    <w:link w:val="Heading3Char"/>
    <w:uiPriority w:val="99"/>
    <w:qFormat/>
    <w:rsid w:val="00DB7FE8"/>
    <w:pPr>
      <w:numPr>
        <w:ilvl w:val="2"/>
      </w:numPr>
      <w:outlineLvl w:val="2"/>
    </w:pPr>
    <w:rPr>
      <w:i/>
      <w:sz w:val="22"/>
    </w:rPr>
  </w:style>
  <w:style w:type="paragraph" w:styleId="Heading4">
    <w:name w:val="heading 4"/>
    <w:aliases w:val="ECC Heading 4"/>
    <w:basedOn w:val="Normal"/>
    <w:next w:val="Normal"/>
    <w:link w:val="Heading4Char"/>
    <w:uiPriority w:val="99"/>
    <w:qFormat/>
    <w:rsid w:val="00DB7FE8"/>
    <w:pPr>
      <w:numPr>
        <w:ilvl w:val="3"/>
        <w:numId w:val="19"/>
      </w:numPr>
      <w:spacing w:after="120" w:line="240" w:lineRule="auto"/>
      <w:jc w:val="both"/>
      <w:outlineLvl w:val="3"/>
    </w:pPr>
    <w:rPr>
      <w:rFonts w:ascii="Arial" w:eastAsia="Times New Roman" w:hAnsi="Arial" w:cs="Times New Roman"/>
      <w:szCs w:val="20"/>
      <w:u w:val="single"/>
      <w:lang w:val="en-GB" w:eastAsia="de-DE"/>
    </w:rPr>
  </w:style>
  <w:style w:type="paragraph" w:styleId="Heading5">
    <w:name w:val="heading 5"/>
    <w:basedOn w:val="Normal"/>
    <w:next w:val="Normal"/>
    <w:link w:val="Heading5Char"/>
    <w:uiPriority w:val="99"/>
    <w:qFormat/>
    <w:rsid w:val="00DB7FE8"/>
    <w:pPr>
      <w:numPr>
        <w:ilvl w:val="4"/>
        <w:numId w:val="19"/>
      </w:numPr>
      <w:spacing w:after="120" w:line="240" w:lineRule="auto"/>
      <w:jc w:val="both"/>
      <w:outlineLvl w:val="4"/>
    </w:pPr>
    <w:rPr>
      <w:rFonts w:ascii="Arial" w:eastAsia="Times New Roman" w:hAnsi="Arial" w:cs="Times New Roman"/>
      <w:b/>
      <w:sz w:val="20"/>
      <w:szCs w:val="20"/>
      <w:lang w:val="en-GB" w:eastAsia="de-DE"/>
    </w:rPr>
  </w:style>
  <w:style w:type="paragraph" w:styleId="Heading6">
    <w:name w:val="heading 6"/>
    <w:basedOn w:val="Normal"/>
    <w:next w:val="Normal"/>
    <w:link w:val="Heading6Char"/>
    <w:uiPriority w:val="99"/>
    <w:qFormat/>
    <w:rsid w:val="00DB7FE8"/>
    <w:pPr>
      <w:numPr>
        <w:ilvl w:val="5"/>
        <w:numId w:val="19"/>
      </w:numPr>
      <w:spacing w:after="120" w:line="240" w:lineRule="auto"/>
      <w:jc w:val="both"/>
      <w:outlineLvl w:val="5"/>
    </w:pPr>
    <w:rPr>
      <w:rFonts w:ascii="Arial" w:eastAsia="Times New Roman" w:hAnsi="Arial" w:cs="Times New Roman"/>
      <w:sz w:val="20"/>
      <w:szCs w:val="20"/>
      <w:u w:val="single"/>
      <w:lang w:val="en-GB" w:eastAsia="de-DE"/>
    </w:rPr>
  </w:style>
  <w:style w:type="paragraph" w:styleId="Heading7">
    <w:name w:val="heading 7"/>
    <w:basedOn w:val="Normal"/>
    <w:next w:val="Normal"/>
    <w:link w:val="Heading7Char"/>
    <w:uiPriority w:val="99"/>
    <w:qFormat/>
    <w:rsid w:val="00DB7FE8"/>
    <w:pPr>
      <w:numPr>
        <w:ilvl w:val="6"/>
        <w:numId w:val="19"/>
      </w:numPr>
      <w:spacing w:after="120" w:line="240" w:lineRule="auto"/>
      <w:jc w:val="both"/>
      <w:outlineLvl w:val="6"/>
    </w:pPr>
    <w:rPr>
      <w:rFonts w:ascii="Arial" w:eastAsia="Times New Roman" w:hAnsi="Arial" w:cs="Times New Roman"/>
      <w:i/>
      <w:sz w:val="20"/>
      <w:szCs w:val="20"/>
      <w:lang w:val="en-GB" w:eastAsia="de-DE"/>
    </w:rPr>
  </w:style>
  <w:style w:type="paragraph" w:styleId="Heading8">
    <w:name w:val="heading 8"/>
    <w:basedOn w:val="Normal"/>
    <w:next w:val="Normal"/>
    <w:link w:val="Heading8Char"/>
    <w:uiPriority w:val="99"/>
    <w:qFormat/>
    <w:rsid w:val="00DB7FE8"/>
    <w:pPr>
      <w:numPr>
        <w:ilvl w:val="7"/>
        <w:numId w:val="19"/>
      </w:numPr>
      <w:spacing w:after="120" w:line="240" w:lineRule="auto"/>
      <w:jc w:val="both"/>
      <w:outlineLvl w:val="7"/>
    </w:pPr>
    <w:rPr>
      <w:rFonts w:ascii="Arial" w:eastAsia="Times New Roman" w:hAnsi="Arial" w:cs="Times New Roman"/>
      <w:i/>
      <w:sz w:val="20"/>
      <w:szCs w:val="20"/>
      <w:lang w:val="en-GB" w:eastAsia="de-DE"/>
    </w:rPr>
  </w:style>
  <w:style w:type="paragraph" w:styleId="Heading9">
    <w:name w:val="heading 9"/>
    <w:basedOn w:val="Normal"/>
    <w:next w:val="Normal"/>
    <w:link w:val="Heading9Char"/>
    <w:uiPriority w:val="99"/>
    <w:qFormat/>
    <w:rsid w:val="00DB7FE8"/>
    <w:pPr>
      <w:numPr>
        <w:ilvl w:val="8"/>
        <w:numId w:val="19"/>
      </w:numPr>
      <w:spacing w:after="120" w:line="240" w:lineRule="auto"/>
      <w:jc w:val="both"/>
      <w:outlineLvl w:val="8"/>
    </w:pPr>
    <w:rPr>
      <w:rFonts w:ascii="Arial" w:eastAsia="Times New Roman" w:hAnsi="Arial" w:cs="Times New Roman"/>
      <w:i/>
      <w:sz w:val="20"/>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648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48F3"/>
    <w:rPr>
      <w:sz w:val="20"/>
      <w:szCs w:val="20"/>
    </w:rPr>
  </w:style>
  <w:style w:type="character" w:styleId="FootnoteReference">
    <w:name w:val="footnote reference"/>
    <w:aliases w:val="Appel note de bas de p,Footnote Reference/,Footnote,Footnote symbol"/>
    <w:semiHidden/>
    <w:unhideWhenUsed/>
    <w:rsid w:val="005648F3"/>
    <w:rPr>
      <w:position w:val="6"/>
      <w:sz w:val="16"/>
    </w:rPr>
  </w:style>
  <w:style w:type="paragraph" w:styleId="ListParagraph">
    <w:name w:val="List Paragraph"/>
    <w:basedOn w:val="Normal"/>
    <w:uiPriority w:val="34"/>
    <w:qFormat/>
    <w:rsid w:val="005648F3"/>
    <w:pPr>
      <w:ind w:left="720"/>
      <w:contextualSpacing/>
    </w:pPr>
  </w:style>
  <w:style w:type="character" w:styleId="Hyperlink">
    <w:name w:val="Hyperlink"/>
    <w:basedOn w:val="DefaultParagraphFont"/>
    <w:uiPriority w:val="99"/>
    <w:unhideWhenUsed/>
    <w:rsid w:val="005648F3"/>
    <w:rPr>
      <w:color w:val="0000FF" w:themeColor="hyperlink"/>
      <w:u w:val="single"/>
    </w:rPr>
  </w:style>
  <w:style w:type="character" w:styleId="FollowedHyperlink">
    <w:name w:val="FollowedHyperlink"/>
    <w:basedOn w:val="DefaultParagraphFont"/>
    <w:uiPriority w:val="99"/>
    <w:semiHidden/>
    <w:unhideWhenUsed/>
    <w:rsid w:val="0010556E"/>
    <w:rPr>
      <w:color w:val="800080" w:themeColor="followedHyperlink"/>
      <w:u w:val="single"/>
    </w:rPr>
  </w:style>
  <w:style w:type="character" w:styleId="Strong">
    <w:name w:val="Strong"/>
    <w:basedOn w:val="DefaultParagraphFont"/>
    <w:uiPriority w:val="22"/>
    <w:qFormat/>
    <w:rsid w:val="00D67BED"/>
    <w:rPr>
      <w:b/>
      <w:bCs/>
    </w:rPr>
  </w:style>
  <w:style w:type="paragraph" w:styleId="BalloonText">
    <w:name w:val="Balloon Text"/>
    <w:basedOn w:val="Normal"/>
    <w:link w:val="BalloonTextChar"/>
    <w:uiPriority w:val="99"/>
    <w:semiHidden/>
    <w:unhideWhenUsed/>
    <w:rsid w:val="00AC3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EE"/>
    <w:rPr>
      <w:rFonts w:ascii="Tahoma" w:hAnsi="Tahoma" w:cs="Tahoma"/>
      <w:sz w:val="16"/>
      <w:szCs w:val="16"/>
    </w:rPr>
  </w:style>
  <w:style w:type="character" w:styleId="CommentReference">
    <w:name w:val="annotation reference"/>
    <w:basedOn w:val="DefaultParagraphFont"/>
    <w:unhideWhenUsed/>
    <w:rsid w:val="00B0116E"/>
    <w:rPr>
      <w:sz w:val="16"/>
      <w:szCs w:val="16"/>
    </w:rPr>
  </w:style>
  <w:style w:type="paragraph" w:styleId="CommentText">
    <w:name w:val="annotation text"/>
    <w:basedOn w:val="Normal"/>
    <w:link w:val="CommentTextChar"/>
    <w:unhideWhenUsed/>
    <w:rsid w:val="00B0116E"/>
    <w:pPr>
      <w:spacing w:line="240" w:lineRule="auto"/>
    </w:pPr>
    <w:rPr>
      <w:sz w:val="20"/>
      <w:szCs w:val="20"/>
    </w:rPr>
  </w:style>
  <w:style w:type="character" w:customStyle="1" w:styleId="CommentTextChar">
    <w:name w:val="Comment Text Char"/>
    <w:basedOn w:val="DefaultParagraphFont"/>
    <w:link w:val="CommentText"/>
    <w:rsid w:val="00B0116E"/>
    <w:rPr>
      <w:sz w:val="20"/>
      <w:szCs w:val="20"/>
    </w:rPr>
  </w:style>
  <w:style w:type="paragraph" w:styleId="CommentSubject">
    <w:name w:val="annotation subject"/>
    <w:basedOn w:val="CommentText"/>
    <w:next w:val="CommentText"/>
    <w:link w:val="CommentSubjectChar"/>
    <w:uiPriority w:val="99"/>
    <w:semiHidden/>
    <w:unhideWhenUsed/>
    <w:rsid w:val="00B0116E"/>
    <w:rPr>
      <w:b/>
      <w:bCs/>
    </w:rPr>
  </w:style>
  <w:style w:type="character" w:customStyle="1" w:styleId="CommentSubjectChar">
    <w:name w:val="Comment Subject Char"/>
    <w:basedOn w:val="CommentTextChar"/>
    <w:link w:val="CommentSubject"/>
    <w:uiPriority w:val="99"/>
    <w:semiHidden/>
    <w:rsid w:val="00B0116E"/>
    <w:rPr>
      <w:b/>
      <w:bCs/>
      <w:sz w:val="20"/>
      <w:szCs w:val="20"/>
    </w:rPr>
  </w:style>
  <w:style w:type="character" w:customStyle="1" w:styleId="Heading1Char">
    <w:name w:val="Heading 1 Char"/>
    <w:aliases w:val="ECC Heading 1 Char"/>
    <w:basedOn w:val="DefaultParagraphFont"/>
    <w:link w:val="Heading1"/>
    <w:uiPriority w:val="99"/>
    <w:rsid w:val="00DB7FE8"/>
    <w:rPr>
      <w:rFonts w:ascii="Arial" w:eastAsia="Times New Roman" w:hAnsi="Arial" w:cs="Arial"/>
      <w:b/>
      <w:sz w:val="28"/>
      <w:szCs w:val="28"/>
      <w:lang w:val="en-GB" w:eastAsia="de-DE"/>
    </w:rPr>
  </w:style>
  <w:style w:type="character" w:customStyle="1" w:styleId="Heading2Char">
    <w:name w:val="Heading 2 Char"/>
    <w:aliases w:val="ECC Heading 2 Char"/>
    <w:basedOn w:val="DefaultParagraphFont"/>
    <w:link w:val="Heading2"/>
    <w:uiPriority w:val="99"/>
    <w:rsid w:val="00DB7FE8"/>
    <w:rPr>
      <w:rFonts w:ascii="Arial" w:eastAsia="Times New Roman" w:hAnsi="Arial" w:cs="Arial"/>
      <w:b/>
      <w:sz w:val="24"/>
      <w:szCs w:val="28"/>
      <w:lang w:val="en-GB" w:eastAsia="de-DE"/>
    </w:rPr>
  </w:style>
  <w:style w:type="character" w:customStyle="1" w:styleId="Heading3Char">
    <w:name w:val="Heading 3 Char"/>
    <w:aliases w:val="ECC Heading 3 Char"/>
    <w:basedOn w:val="DefaultParagraphFont"/>
    <w:link w:val="Heading3"/>
    <w:uiPriority w:val="99"/>
    <w:rsid w:val="00DB7FE8"/>
    <w:rPr>
      <w:rFonts w:ascii="Arial" w:eastAsia="Times New Roman" w:hAnsi="Arial" w:cs="Arial"/>
      <w:b/>
      <w:i/>
      <w:szCs w:val="28"/>
      <w:lang w:val="en-GB" w:eastAsia="de-DE"/>
    </w:rPr>
  </w:style>
  <w:style w:type="character" w:customStyle="1" w:styleId="Heading4Char">
    <w:name w:val="Heading 4 Char"/>
    <w:aliases w:val="ECC Heading 4 Char"/>
    <w:basedOn w:val="DefaultParagraphFont"/>
    <w:link w:val="Heading4"/>
    <w:uiPriority w:val="99"/>
    <w:rsid w:val="00DB7FE8"/>
    <w:rPr>
      <w:rFonts w:ascii="Arial" w:eastAsia="Times New Roman" w:hAnsi="Arial" w:cs="Times New Roman"/>
      <w:szCs w:val="20"/>
      <w:u w:val="single"/>
      <w:lang w:val="en-GB" w:eastAsia="de-DE"/>
    </w:rPr>
  </w:style>
  <w:style w:type="character" w:customStyle="1" w:styleId="Heading5Char">
    <w:name w:val="Heading 5 Char"/>
    <w:basedOn w:val="DefaultParagraphFont"/>
    <w:link w:val="Heading5"/>
    <w:uiPriority w:val="99"/>
    <w:rsid w:val="00DB7FE8"/>
    <w:rPr>
      <w:rFonts w:ascii="Arial" w:eastAsia="Times New Roman" w:hAnsi="Arial" w:cs="Times New Roman"/>
      <w:b/>
      <w:sz w:val="20"/>
      <w:szCs w:val="20"/>
      <w:lang w:val="en-GB" w:eastAsia="de-DE"/>
    </w:rPr>
  </w:style>
  <w:style w:type="character" w:customStyle="1" w:styleId="Heading6Char">
    <w:name w:val="Heading 6 Char"/>
    <w:basedOn w:val="DefaultParagraphFont"/>
    <w:link w:val="Heading6"/>
    <w:uiPriority w:val="99"/>
    <w:rsid w:val="00DB7FE8"/>
    <w:rPr>
      <w:rFonts w:ascii="Arial" w:eastAsia="Times New Roman" w:hAnsi="Arial" w:cs="Times New Roman"/>
      <w:sz w:val="20"/>
      <w:szCs w:val="20"/>
      <w:u w:val="single"/>
      <w:lang w:val="en-GB" w:eastAsia="de-DE"/>
    </w:rPr>
  </w:style>
  <w:style w:type="character" w:customStyle="1" w:styleId="Heading7Char">
    <w:name w:val="Heading 7 Char"/>
    <w:basedOn w:val="DefaultParagraphFont"/>
    <w:link w:val="Heading7"/>
    <w:uiPriority w:val="99"/>
    <w:rsid w:val="00DB7FE8"/>
    <w:rPr>
      <w:rFonts w:ascii="Arial" w:eastAsia="Times New Roman" w:hAnsi="Arial" w:cs="Times New Roman"/>
      <w:i/>
      <w:sz w:val="20"/>
      <w:szCs w:val="20"/>
      <w:lang w:val="en-GB" w:eastAsia="de-DE"/>
    </w:rPr>
  </w:style>
  <w:style w:type="character" w:customStyle="1" w:styleId="Heading8Char">
    <w:name w:val="Heading 8 Char"/>
    <w:basedOn w:val="DefaultParagraphFont"/>
    <w:link w:val="Heading8"/>
    <w:uiPriority w:val="99"/>
    <w:rsid w:val="00DB7FE8"/>
    <w:rPr>
      <w:rFonts w:ascii="Arial" w:eastAsia="Times New Roman" w:hAnsi="Arial" w:cs="Times New Roman"/>
      <w:i/>
      <w:sz w:val="20"/>
      <w:szCs w:val="20"/>
      <w:lang w:val="en-GB" w:eastAsia="de-DE"/>
    </w:rPr>
  </w:style>
  <w:style w:type="character" w:customStyle="1" w:styleId="Heading9Char">
    <w:name w:val="Heading 9 Char"/>
    <w:basedOn w:val="DefaultParagraphFont"/>
    <w:link w:val="Heading9"/>
    <w:uiPriority w:val="99"/>
    <w:rsid w:val="00DB7FE8"/>
    <w:rPr>
      <w:rFonts w:ascii="Arial" w:eastAsia="Times New Roman" w:hAnsi="Arial" w:cs="Times New Roman"/>
      <w:i/>
      <w:sz w:val="20"/>
      <w:szCs w:val="20"/>
      <w:lang w:val="en-GB" w:eastAsia="de-DE"/>
    </w:rPr>
  </w:style>
  <w:style w:type="paragraph" w:styleId="Header">
    <w:name w:val="header"/>
    <w:basedOn w:val="Normal"/>
    <w:link w:val="HeaderChar"/>
    <w:uiPriority w:val="99"/>
    <w:unhideWhenUsed/>
    <w:rsid w:val="009F7E14"/>
    <w:pPr>
      <w:tabs>
        <w:tab w:val="center" w:pos="4819"/>
        <w:tab w:val="right" w:pos="9638"/>
      </w:tabs>
      <w:spacing w:after="0" w:line="240" w:lineRule="auto"/>
    </w:pPr>
  </w:style>
  <w:style w:type="character" w:customStyle="1" w:styleId="HeaderChar">
    <w:name w:val="Header Char"/>
    <w:basedOn w:val="DefaultParagraphFont"/>
    <w:link w:val="Header"/>
    <w:uiPriority w:val="99"/>
    <w:rsid w:val="009F7E14"/>
  </w:style>
  <w:style w:type="paragraph" w:styleId="Footer">
    <w:name w:val="footer"/>
    <w:basedOn w:val="Normal"/>
    <w:link w:val="FooterChar"/>
    <w:uiPriority w:val="99"/>
    <w:unhideWhenUsed/>
    <w:rsid w:val="009F7E14"/>
    <w:pPr>
      <w:tabs>
        <w:tab w:val="center" w:pos="4819"/>
        <w:tab w:val="right" w:pos="9638"/>
      </w:tabs>
      <w:spacing w:after="0" w:line="240" w:lineRule="auto"/>
    </w:pPr>
  </w:style>
  <w:style w:type="character" w:customStyle="1" w:styleId="FooterChar">
    <w:name w:val="Footer Char"/>
    <w:basedOn w:val="DefaultParagraphFont"/>
    <w:link w:val="Footer"/>
    <w:uiPriority w:val="99"/>
    <w:rsid w:val="009F7E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ECC Heading 1"/>
    <w:basedOn w:val="Normal"/>
    <w:next w:val="Normal"/>
    <w:link w:val="Heading1Char"/>
    <w:uiPriority w:val="99"/>
    <w:qFormat/>
    <w:rsid w:val="00DB7FE8"/>
    <w:pPr>
      <w:numPr>
        <w:numId w:val="19"/>
      </w:numPr>
      <w:tabs>
        <w:tab w:val="left" w:pos="851"/>
      </w:tabs>
      <w:spacing w:before="360" w:after="120" w:line="240" w:lineRule="auto"/>
      <w:outlineLvl w:val="0"/>
    </w:pPr>
    <w:rPr>
      <w:rFonts w:ascii="Arial" w:eastAsia="Times New Roman" w:hAnsi="Arial" w:cs="Arial"/>
      <w:b/>
      <w:sz w:val="28"/>
      <w:szCs w:val="28"/>
      <w:lang w:val="en-GB" w:eastAsia="de-DE"/>
    </w:rPr>
  </w:style>
  <w:style w:type="paragraph" w:styleId="Heading2">
    <w:name w:val="heading 2"/>
    <w:aliases w:val="ECC Heading 2"/>
    <w:basedOn w:val="Heading1"/>
    <w:next w:val="Normal"/>
    <w:link w:val="Heading2Char"/>
    <w:uiPriority w:val="99"/>
    <w:qFormat/>
    <w:rsid w:val="00DB7FE8"/>
    <w:pPr>
      <w:numPr>
        <w:ilvl w:val="1"/>
      </w:numPr>
      <w:spacing w:before="120"/>
      <w:outlineLvl w:val="1"/>
    </w:pPr>
    <w:rPr>
      <w:sz w:val="24"/>
    </w:rPr>
  </w:style>
  <w:style w:type="paragraph" w:styleId="Heading3">
    <w:name w:val="heading 3"/>
    <w:aliases w:val="ECC Heading 3"/>
    <w:basedOn w:val="Heading2"/>
    <w:next w:val="Normal"/>
    <w:link w:val="Heading3Char"/>
    <w:uiPriority w:val="99"/>
    <w:qFormat/>
    <w:rsid w:val="00DB7FE8"/>
    <w:pPr>
      <w:numPr>
        <w:ilvl w:val="2"/>
      </w:numPr>
      <w:outlineLvl w:val="2"/>
    </w:pPr>
    <w:rPr>
      <w:i/>
      <w:sz w:val="22"/>
    </w:rPr>
  </w:style>
  <w:style w:type="paragraph" w:styleId="Heading4">
    <w:name w:val="heading 4"/>
    <w:aliases w:val="ECC Heading 4"/>
    <w:basedOn w:val="Normal"/>
    <w:next w:val="Normal"/>
    <w:link w:val="Heading4Char"/>
    <w:uiPriority w:val="99"/>
    <w:qFormat/>
    <w:rsid w:val="00DB7FE8"/>
    <w:pPr>
      <w:numPr>
        <w:ilvl w:val="3"/>
        <w:numId w:val="19"/>
      </w:numPr>
      <w:spacing w:after="120" w:line="240" w:lineRule="auto"/>
      <w:jc w:val="both"/>
      <w:outlineLvl w:val="3"/>
    </w:pPr>
    <w:rPr>
      <w:rFonts w:ascii="Arial" w:eastAsia="Times New Roman" w:hAnsi="Arial" w:cs="Times New Roman"/>
      <w:szCs w:val="20"/>
      <w:u w:val="single"/>
      <w:lang w:val="en-GB" w:eastAsia="de-DE"/>
    </w:rPr>
  </w:style>
  <w:style w:type="paragraph" w:styleId="Heading5">
    <w:name w:val="heading 5"/>
    <w:basedOn w:val="Normal"/>
    <w:next w:val="Normal"/>
    <w:link w:val="Heading5Char"/>
    <w:uiPriority w:val="99"/>
    <w:qFormat/>
    <w:rsid w:val="00DB7FE8"/>
    <w:pPr>
      <w:numPr>
        <w:ilvl w:val="4"/>
        <w:numId w:val="19"/>
      </w:numPr>
      <w:spacing w:after="120" w:line="240" w:lineRule="auto"/>
      <w:jc w:val="both"/>
      <w:outlineLvl w:val="4"/>
    </w:pPr>
    <w:rPr>
      <w:rFonts w:ascii="Arial" w:eastAsia="Times New Roman" w:hAnsi="Arial" w:cs="Times New Roman"/>
      <w:b/>
      <w:sz w:val="20"/>
      <w:szCs w:val="20"/>
      <w:lang w:val="en-GB" w:eastAsia="de-DE"/>
    </w:rPr>
  </w:style>
  <w:style w:type="paragraph" w:styleId="Heading6">
    <w:name w:val="heading 6"/>
    <w:basedOn w:val="Normal"/>
    <w:next w:val="Normal"/>
    <w:link w:val="Heading6Char"/>
    <w:uiPriority w:val="99"/>
    <w:qFormat/>
    <w:rsid w:val="00DB7FE8"/>
    <w:pPr>
      <w:numPr>
        <w:ilvl w:val="5"/>
        <w:numId w:val="19"/>
      </w:numPr>
      <w:spacing w:after="120" w:line="240" w:lineRule="auto"/>
      <w:jc w:val="both"/>
      <w:outlineLvl w:val="5"/>
    </w:pPr>
    <w:rPr>
      <w:rFonts w:ascii="Arial" w:eastAsia="Times New Roman" w:hAnsi="Arial" w:cs="Times New Roman"/>
      <w:sz w:val="20"/>
      <w:szCs w:val="20"/>
      <w:u w:val="single"/>
      <w:lang w:val="en-GB" w:eastAsia="de-DE"/>
    </w:rPr>
  </w:style>
  <w:style w:type="paragraph" w:styleId="Heading7">
    <w:name w:val="heading 7"/>
    <w:basedOn w:val="Normal"/>
    <w:next w:val="Normal"/>
    <w:link w:val="Heading7Char"/>
    <w:uiPriority w:val="99"/>
    <w:qFormat/>
    <w:rsid w:val="00DB7FE8"/>
    <w:pPr>
      <w:numPr>
        <w:ilvl w:val="6"/>
        <w:numId w:val="19"/>
      </w:numPr>
      <w:spacing w:after="120" w:line="240" w:lineRule="auto"/>
      <w:jc w:val="both"/>
      <w:outlineLvl w:val="6"/>
    </w:pPr>
    <w:rPr>
      <w:rFonts w:ascii="Arial" w:eastAsia="Times New Roman" w:hAnsi="Arial" w:cs="Times New Roman"/>
      <w:i/>
      <w:sz w:val="20"/>
      <w:szCs w:val="20"/>
      <w:lang w:val="en-GB" w:eastAsia="de-DE"/>
    </w:rPr>
  </w:style>
  <w:style w:type="paragraph" w:styleId="Heading8">
    <w:name w:val="heading 8"/>
    <w:basedOn w:val="Normal"/>
    <w:next w:val="Normal"/>
    <w:link w:val="Heading8Char"/>
    <w:uiPriority w:val="99"/>
    <w:qFormat/>
    <w:rsid w:val="00DB7FE8"/>
    <w:pPr>
      <w:numPr>
        <w:ilvl w:val="7"/>
        <w:numId w:val="19"/>
      </w:numPr>
      <w:spacing w:after="120" w:line="240" w:lineRule="auto"/>
      <w:jc w:val="both"/>
      <w:outlineLvl w:val="7"/>
    </w:pPr>
    <w:rPr>
      <w:rFonts w:ascii="Arial" w:eastAsia="Times New Roman" w:hAnsi="Arial" w:cs="Times New Roman"/>
      <w:i/>
      <w:sz w:val="20"/>
      <w:szCs w:val="20"/>
      <w:lang w:val="en-GB" w:eastAsia="de-DE"/>
    </w:rPr>
  </w:style>
  <w:style w:type="paragraph" w:styleId="Heading9">
    <w:name w:val="heading 9"/>
    <w:basedOn w:val="Normal"/>
    <w:next w:val="Normal"/>
    <w:link w:val="Heading9Char"/>
    <w:uiPriority w:val="99"/>
    <w:qFormat/>
    <w:rsid w:val="00DB7FE8"/>
    <w:pPr>
      <w:numPr>
        <w:ilvl w:val="8"/>
        <w:numId w:val="19"/>
      </w:numPr>
      <w:spacing w:after="120" w:line="240" w:lineRule="auto"/>
      <w:jc w:val="both"/>
      <w:outlineLvl w:val="8"/>
    </w:pPr>
    <w:rPr>
      <w:rFonts w:ascii="Arial" w:eastAsia="Times New Roman" w:hAnsi="Arial" w:cs="Times New Roman"/>
      <w:i/>
      <w:sz w:val="20"/>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648F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48F3"/>
    <w:rPr>
      <w:sz w:val="20"/>
      <w:szCs w:val="20"/>
    </w:rPr>
  </w:style>
  <w:style w:type="character" w:styleId="FootnoteReference">
    <w:name w:val="footnote reference"/>
    <w:aliases w:val="Appel note de bas de p,Footnote Reference/,Footnote,Footnote symbol"/>
    <w:semiHidden/>
    <w:unhideWhenUsed/>
    <w:rsid w:val="005648F3"/>
    <w:rPr>
      <w:position w:val="6"/>
      <w:sz w:val="16"/>
    </w:rPr>
  </w:style>
  <w:style w:type="paragraph" w:styleId="ListParagraph">
    <w:name w:val="List Paragraph"/>
    <w:basedOn w:val="Normal"/>
    <w:uiPriority w:val="34"/>
    <w:qFormat/>
    <w:rsid w:val="005648F3"/>
    <w:pPr>
      <w:ind w:left="720"/>
      <w:contextualSpacing/>
    </w:pPr>
  </w:style>
  <w:style w:type="character" w:styleId="Hyperlink">
    <w:name w:val="Hyperlink"/>
    <w:basedOn w:val="DefaultParagraphFont"/>
    <w:uiPriority w:val="99"/>
    <w:unhideWhenUsed/>
    <w:rsid w:val="005648F3"/>
    <w:rPr>
      <w:color w:val="0000FF" w:themeColor="hyperlink"/>
      <w:u w:val="single"/>
    </w:rPr>
  </w:style>
  <w:style w:type="character" w:styleId="FollowedHyperlink">
    <w:name w:val="FollowedHyperlink"/>
    <w:basedOn w:val="DefaultParagraphFont"/>
    <w:uiPriority w:val="99"/>
    <w:semiHidden/>
    <w:unhideWhenUsed/>
    <w:rsid w:val="0010556E"/>
    <w:rPr>
      <w:color w:val="800080" w:themeColor="followedHyperlink"/>
      <w:u w:val="single"/>
    </w:rPr>
  </w:style>
  <w:style w:type="character" w:styleId="Strong">
    <w:name w:val="Strong"/>
    <w:basedOn w:val="DefaultParagraphFont"/>
    <w:uiPriority w:val="22"/>
    <w:qFormat/>
    <w:rsid w:val="00D67BED"/>
    <w:rPr>
      <w:b/>
      <w:bCs/>
    </w:rPr>
  </w:style>
  <w:style w:type="paragraph" w:styleId="BalloonText">
    <w:name w:val="Balloon Text"/>
    <w:basedOn w:val="Normal"/>
    <w:link w:val="BalloonTextChar"/>
    <w:uiPriority w:val="99"/>
    <w:semiHidden/>
    <w:unhideWhenUsed/>
    <w:rsid w:val="00AC3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EE"/>
    <w:rPr>
      <w:rFonts w:ascii="Tahoma" w:hAnsi="Tahoma" w:cs="Tahoma"/>
      <w:sz w:val="16"/>
      <w:szCs w:val="16"/>
    </w:rPr>
  </w:style>
  <w:style w:type="character" w:styleId="CommentReference">
    <w:name w:val="annotation reference"/>
    <w:basedOn w:val="DefaultParagraphFont"/>
    <w:unhideWhenUsed/>
    <w:rsid w:val="00B0116E"/>
    <w:rPr>
      <w:sz w:val="16"/>
      <w:szCs w:val="16"/>
    </w:rPr>
  </w:style>
  <w:style w:type="paragraph" w:styleId="CommentText">
    <w:name w:val="annotation text"/>
    <w:basedOn w:val="Normal"/>
    <w:link w:val="CommentTextChar"/>
    <w:unhideWhenUsed/>
    <w:rsid w:val="00B0116E"/>
    <w:pPr>
      <w:spacing w:line="240" w:lineRule="auto"/>
    </w:pPr>
    <w:rPr>
      <w:sz w:val="20"/>
      <w:szCs w:val="20"/>
    </w:rPr>
  </w:style>
  <w:style w:type="character" w:customStyle="1" w:styleId="CommentTextChar">
    <w:name w:val="Comment Text Char"/>
    <w:basedOn w:val="DefaultParagraphFont"/>
    <w:link w:val="CommentText"/>
    <w:rsid w:val="00B0116E"/>
    <w:rPr>
      <w:sz w:val="20"/>
      <w:szCs w:val="20"/>
    </w:rPr>
  </w:style>
  <w:style w:type="paragraph" w:styleId="CommentSubject">
    <w:name w:val="annotation subject"/>
    <w:basedOn w:val="CommentText"/>
    <w:next w:val="CommentText"/>
    <w:link w:val="CommentSubjectChar"/>
    <w:uiPriority w:val="99"/>
    <w:semiHidden/>
    <w:unhideWhenUsed/>
    <w:rsid w:val="00B0116E"/>
    <w:rPr>
      <w:b/>
      <w:bCs/>
    </w:rPr>
  </w:style>
  <w:style w:type="character" w:customStyle="1" w:styleId="CommentSubjectChar">
    <w:name w:val="Comment Subject Char"/>
    <w:basedOn w:val="CommentTextChar"/>
    <w:link w:val="CommentSubject"/>
    <w:uiPriority w:val="99"/>
    <w:semiHidden/>
    <w:rsid w:val="00B0116E"/>
    <w:rPr>
      <w:b/>
      <w:bCs/>
      <w:sz w:val="20"/>
      <w:szCs w:val="20"/>
    </w:rPr>
  </w:style>
  <w:style w:type="character" w:customStyle="1" w:styleId="Heading1Char">
    <w:name w:val="Heading 1 Char"/>
    <w:aliases w:val="ECC Heading 1 Char"/>
    <w:basedOn w:val="DefaultParagraphFont"/>
    <w:link w:val="Heading1"/>
    <w:uiPriority w:val="99"/>
    <w:rsid w:val="00DB7FE8"/>
    <w:rPr>
      <w:rFonts w:ascii="Arial" w:eastAsia="Times New Roman" w:hAnsi="Arial" w:cs="Arial"/>
      <w:b/>
      <w:sz w:val="28"/>
      <w:szCs w:val="28"/>
      <w:lang w:val="en-GB" w:eastAsia="de-DE"/>
    </w:rPr>
  </w:style>
  <w:style w:type="character" w:customStyle="1" w:styleId="Heading2Char">
    <w:name w:val="Heading 2 Char"/>
    <w:aliases w:val="ECC Heading 2 Char"/>
    <w:basedOn w:val="DefaultParagraphFont"/>
    <w:link w:val="Heading2"/>
    <w:uiPriority w:val="99"/>
    <w:rsid w:val="00DB7FE8"/>
    <w:rPr>
      <w:rFonts w:ascii="Arial" w:eastAsia="Times New Roman" w:hAnsi="Arial" w:cs="Arial"/>
      <w:b/>
      <w:sz w:val="24"/>
      <w:szCs w:val="28"/>
      <w:lang w:val="en-GB" w:eastAsia="de-DE"/>
    </w:rPr>
  </w:style>
  <w:style w:type="character" w:customStyle="1" w:styleId="Heading3Char">
    <w:name w:val="Heading 3 Char"/>
    <w:aliases w:val="ECC Heading 3 Char"/>
    <w:basedOn w:val="DefaultParagraphFont"/>
    <w:link w:val="Heading3"/>
    <w:uiPriority w:val="99"/>
    <w:rsid w:val="00DB7FE8"/>
    <w:rPr>
      <w:rFonts w:ascii="Arial" w:eastAsia="Times New Roman" w:hAnsi="Arial" w:cs="Arial"/>
      <w:b/>
      <w:i/>
      <w:szCs w:val="28"/>
      <w:lang w:val="en-GB" w:eastAsia="de-DE"/>
    </w:rPr>
  </w:style>
  <w:style w:type="character" w:customStyle="1" w:styleId="Heading4Char">
    <w:name w:val="Heading 4 Char"/>
    <w:aliases w:val="ECC Heading 4 Char"/>
    <w:basedOn w:val="DefaultParagraphFont"/>
    <w:link w:val="Heading4"/>
    <w:uiPriority w:val="99"/>
    <w:rsid w:val="00DB7FE8"/>
    <w:rPr>
      <w:rFonts w:ascii="Arial" w:eastAsia="Times New Roman" w:hAnsi="Arial" w:cs="Times New Roman"/>
      <w:szCs w:val="20"/>
      <w:u w:val="single"/>
      <w:lang w:val="en-GB" w:eastAsia="de-DE"/>
    </w:rPr>
  </w:style>
  <w:style w:type="character" w:customStyle="1" w:styleId="Heading5Char">
    <w:name w:val="Heading 5 Char"/>
    <w:basedOn w:val="DefaultParagraphFont"/>
    <w:link w:val="Heading5"/>
    <w:uiPriority w:val="99"/>
    <w:rsid w:val="00DB7FE8"/>
    <w:rPr>
      <w:rFonts w:ascii="Arial" w:eastAsia="Times New Roman" w:hAnsi="Arial" w:cs="Times New Roman"/>
      <w:b/>
      <w:sz w:val="20"/>
      <w:szCs w:val="20"/>
      <w:lang w:val="en-GB" w:eastAsia="de-DE"/>
    </w:rPr>
  </w:style>
  <w:style w:type="character" w:customStyle="1" w:styleId="Heading6Char">
    <w:name w:val="Heading 6 Char"/>
    <w:basedOn w:val="DefaultParagraphFont"/>
    <w:link w:val="Heading6"/>
    <w:uiPriority w:val="99"/>
    <w:rsid w:val="00DB7FE8"/>
    <w:rPr>
      <w:rFonts w:ascii="Arial" w:eastAsia="Times New Roman" w:hAnsi="Arial" w:cs="Times New Roman"/>
      <w:sz w:val="20"/>
      <w:szCs w:val="20"/>
      <w:u w:val="single"/>
      <w:lang w:val="en-GB" w:eastAsia="de-DE"/>
    </w:rPr>
  </w:style>
  <w:style w:type="character" w:customStyle="1" w:styleId="Heading7Char">
    <w:name w:val="Heading 7 Char"/>
    <w:basedOn w:val="DefaultParagraphFont"/>
    <w:link w:val="Heading7"/>
    <w:uiPriority w:val="99"/>
    <w:rsid w:val="00DB7FE8"/>
    <w:rPr>
      <w:rFonts w:ascii="Arial" w:eastAsia="Times New Roman" w:hAnsi="Arial" w:cs="Times New Roman"/>
      <w:i/>
      <w:sz w:val="20"/>
      <w:szCs w:val="20"/>
      <w:lang w:val="en-GB" w:eastAsia="de-DE"/>
    </w:rPr>
  </w:style>
  <w:style w:type="character" w:customStyle="1" w:styleId="Heading8Char">
    <w:name w:val="Heading 8 Char"/>
    <w:basedOn w:val="DefaultParagraphFont"/>
    <w:link w:val="Heading8"/>
    <w:uiPriority w:val="99"/>
    <w:rsid w:val="00DB7FE8"/>
    <w:rPr>
      <w:rFonts w:ascii="Arial" w:eastAsia="Times New Roman" w:hAnsi="Arial" w:cs="Times New Roman"/>
      <w:i/>
      <w:sz w:val="20"/>
      <w:szCs w:val="20"/>
      <w:lang w:val="en-GB" w:eastAsia="de-DE"/>
    </w:rPr>
  </w:style>
  <w:style w:type="character" w:customStyle="1" w:styleId="Heading9Char">
    <w:name w:val="Heading 9 Char"/>
    <w:basedOn w:val="DefaultParagraphFont"/>
    <w:link w:val="Heading9"/>
    <w:uiPriority w:val="99"/>
    <w:rsid w:val="00DB7FE8"/>
    <w:rPr>
      <w:rFonts w:ascii="Arial" w:eastAsia="Times New Roman" w:hAnsi="Arial" w:cs="Times New Roman"/>
      <w:i/>
      <w:sz w:val="20"/>
      <w:szCs w:val="20"/>
      <w:lang w:val="en-GB" w:eastAsia="de-DE"/>
    </w:rPr>
  </w:style>
  <w:style w:type="paragraph" w:styleId="Header">
    <w:name w:val="header"/>
    <w:basedOn w:val="Normal"/>
    <w:link w:val="HeaderChar"/>
    <w:uiPriority w:val="99"/>
    <w:unhideWhenUsed/>
    <w:rsid w:val="009F7E14"/>
    <w:pPr>
      <w:tabs>
        <w:tab w:val="center" w:pos="4819"/>
        <w:tab w:val="right" w:pos="9638"/>
      </w:tabs>
      <w:spacing w:after="0" w:line="240" w:lineRule="auto"/>
    </w:pPr>
  </w:style>
  <w:style w:type="character" w:customStyle="1" w:styleId="HeaderChar">
    <w:name w:val="Header Char"/>
    <w:basedOn w:val="DefaultParagraphFont"/>
    <w:link w:val="Header"/>
    <w:uiPriority w:val="99"/>
    <w:rsid w:val="009F7E14"/>
  </w:style>
  <w:style w:type="paragraph" w:styleId="Footer">
    <w:name w:val="footer"/>
    <w:basedOn w:val="Normal"/>
    <w:link w:val="FooterChar"/>
    <w:uiPriority w:val="99"/>
    <w:unhideWhenUsed/>
    <w:rsid w:val="009F7E14"/>
    <w:pPr>
      <w:tabs>
        <w:tab w:val="center" w:pos="4819"/>
        <w:tab w:val="right" w:pos="9638"/>
      </w:tabs>
      <w:spacing w:after="0" w:line="240" w:lineRule="auto"/>
    </w:pPr>
  </w:style>
  <w:style w:type="character" w:customStyle="1" w:styleId="FooterChar">
    <w:name w:val="Footer Char"/>
    <w:basedOn w:val="DefaultParagraphFont"/>
    <w:link w:val="Footer"/>
    <w:uiPriority w:val="99"/>
    <w:rsid w:val="009F7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74344">
      <w:bodyDiv w:val="1"/>
      <w:marLeft w:val="0"/>
      <w:marRight w:val="0"/>
      <w:marTop w:val="0"/>
      <w:marBottom w:val="0"/>
      <w:divBdr>
        <w:top w:val="none" w:sz="0" w:space="0" w:color="auto"/>
        <w:left w:val="none" w:sz="0" w:space="0" w:color="auto"/>
        <w:bottom w:val="none" w:sz="0" w:space="0" w:color="auto"/>
        <w:right w:val="none" w:sz="0" w:space="0" w:color="auto"/>
      </w:divBdr>
      <w:divsChild>
        <w:div w:id="641347017">
          <w:marLeft w:val="0"/>
          <w:marRight w:val="0"/>
          <w:marTop w:val="100"/>
          <w:marBottom w:val="100"/>
          <w:divBdr>
            <w:top w:val="none" w:sz="0" w:space="0" w:color="auto"/>
            <w:left w:val="none" w:sz="0" w:space="0" w:color="auto"/>
            <w:bottom w:val="none" w:sz="0" w:space="0" w:color="auto"/>
            <w:right w:val="none" w:sz="0" w:space="0" w:color="auto"/>
          </w:divBdr>
          <w:divsChild>
            <w:div w:id="122120153">
              <w:marLeft w:val="0"/>
              <w:marRight w:val="0"/>
              <w:marTop w:val="0"/>
              <w:marBottom w:val="0"/>
              <w:divBdr>
                <w:top w:val="none" w:sz="0" w:space="0" w:color="auto"/>
                <w:left w:val="none" w:sz="0" w:space="0" w:color="auto"/>
                <w:bottom w:val="none" w:sz="0" w:space="0" w:color="auto"/>
                <w:right w:val="none" w:sz="0" w:space="0" w:color="auto"/>
              </w:divBdr>
              <w:divsChild>
                <w:div w:id="645283521">
                  <w:marLeft w:val="0"/>
                  <w:marRight w:val="0"/>
                  <w:marTop w:val="0"/>
                  <w:marBottom w:val="0"/>
                  <w:divBdr>
                    <w:top w:val="none" w:sz="0" w:space="0" w:color="auto"/>
                    <w:left w:val="none" w:sz="0" w:space="0" w:color="auto"/>
                    <w:bottom w:val="none" w:sz="0" w:space="0" w:color="auto"/>
                    <w:right w:val="none" w:sz="0" w:space="0" w:color="auto"/>
                  </w:divBdr>
                  <w:divsChild>
                    <w:div w:id="1147745688">
                      <w:marLeft w:val="0"/>
                      <w:marRight w:val="0"/>
                      <w:marTop w:val="0"/>
                      <w:marBottom w:val="0"/>
                      <w:divBdr>
                        <w:top w:val="none" w:sz="0" w:space="0" w:color="auto"/>
                        <w:left w:val="none" w:sz="0" w:space="0" w:color="auto"/>
                        <w:bottom w:val="none" w:sz="0" w:space="0" w:color="auto"/>
                        <w:right w:val="none" w:sz="0" w:space="0" w:color="auto"/>
                      </w:divBdr>
                    </w:div>
                    <w:div w:id="461265556">
                      <w:marLeft w:val="0"/>
                      <w:marRight w:val="0"/>
                      <w:marTop w:val="0"/>
                      <w:marBottom w:val="0"/>
                      <w:divBdr>
                        <w:top w:val="none" w:sz="0" w:space="0" w:color="auto"/>
                        <w:left w:val="none" w:sz="0" w:space="0" w:color="auto"/>
                        <w:bottom w:val="none" w:sz="0" w:space="0" w:color="auto"/>
                        <w:right w:val="none" w:sz="0" w:space="0" w:color="auto"/>
                      </w:divBdr>
                    </w:div>
                    <w:div w:id="208615909">
                      <w:marLeft w:val="0"/>
                      <w:marRight w:val="0"/>
                      <w:marTop w:val="0"/>
                      <w:marBottom w:val="0"/>
                      <w:divBdr>
                        <w:top w:val="none" w:sz="0" w:space="0" w:color="auto"/>
                        <w:left w:val="none" w:sz="0" w:space="0" w:color="auto"/>
                        <w:bottom w:val="none" w:sz="0" w:space="0" w:color="auto"/>
                        <w:right w:val="none" w:sz="0" w:space="0" w:color="auto"/>
                      </w:divBdr>
                    </w:div>
                    <w:div w:id="725298432">
                      <w:marLeft w:val="0"/>
                      <w:marRight w:val="0"/>
                      <w:marTop w:val="0"/>
                      <w:marBottom w:val="0"/>
                      <w:divBdr>
                        <w:top w:val="none" w:sz="0" w:space="0" w:color="auto"/>
                        <w:left w:val="none" w:sz="0" w:space="0" w:color="auto"/>
                        <w:bottom w:val="none" w:sz="0" w:space="0" w:color="auto"/>
                        <w:right w:val="none" w:sz="0" w:space="0" w:color="auto"/>
                      </w:divBdr>
                    </w:div>
                    <w:div w:id="1799251227">
                      <w:marLeft w:val="0"/>
                      <w:marRight w:val="0"/>
                      <w:marTop w:val="0"/>
                      <w:marBottom w:val="0"/>
                      <w:divBdr>
                        <w:top w:val="none" w:sz="0" w:space="0" w:color="auto"/>
                        <w:left w:val="none" w:sz="0" w:space="0" w:color="auto"/>
                        <w:bottom w:val="none" w:sz="0" w:space="0" w:color="auto"/>
                        <w:right w:val="none" w:sz="0" w:space="0" w:color="auto"/>
                      </w:divBdr>
                    </w:div>
                    <w:div w:id="1888250098">
                      <w:marLeft w:val="0"/>
                      <w:marRight w:val="0"/>
                      <w:marTop w:val="0"/>
                      <w:marBottom w:val="0"/>
                      <w:divBdr>
                        <w:top w:val="none" w:sz="0" w:space="0" w:color="auto"/>
                        <w:left w:val="none" w:sz="0" w:space="0" w:color="auto"/>
                        <w:bottom w:val="none" w:sz="0" w:space="0" w:color="auto"/>
                        <w:right w:val="none" w:sz="0" w:space="0" w:color="auto"/>
                      </w:divBdr>
                    </w:div>
                    <w:div w:id="113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979613">
      <w:bodyDiv w:val="1"/>
      <w:marLeft w:val="0"/>
      <w:marRight w:val="0"/>
      <w:marTop w:val="0"/>
      <w:marBottom w:val="0"/>
      <w:divBdr>
        <w:top w:val="none" w:sz="0" w:space="0" w:color="auto"/>
        <w:left w:val="none" w:sz="0" w:space="0" w:color="auto"/>
        <w:bottom w:val="none" w:sz="0" w:space="0" w:color="auto"/>
        <w:right w:val="none" w:sz="0" w:space="0" w:color="auto"/>
      </w:divBdr>
    </w:div>
    <w:div w:id="1002925755">
      <w:bodyDiv w:val="1"/>
      <w:marLeft w:val="0"/>
      <w:marRight w:val="0"/>
      <w:marTop w:val="0"/>
      <w:marBottom w:val="0"/>
      <w:divBdr>
        <w:top w:val="none" w:sz="0" w:space="0" w:color="auto"/>
        <w:left w:val="none" w:sz="0" w:space="0" w:color="auto"/>
        <w:bottom w:val="none" w:sz="0" w:space="0" w:color="auto"/>
        <w:right w:val="none" w:sz="0" w:space="0" w:color="auto"/>
      </w:divBdr>
      <w:divsChild>
        <w:div w:id="2138135917">
          <w:marLeft w:val="0"/>
          <w:marRight w:val="0"/>
          <w:marTop w:val="100"/>
          <w:marBottom w:val="100"/>
          <w:divBdr>
            <w:top w:val="none" w:sz="0" w:space="0" w:color="auto"/>
            <w:left w:val="none" w:sz="0" w:space="0" w:color="auto"/>
            <w:bottom w:val="none" w:sz="0" w:space="0" w:color="auto"/>
            <w:right w:val="none" w:sz="0" w:space="0" w:color="auto"/>
          </w:divBdr>
          <w:divsChild>
            <w:div w:id="1116364039">
              <w:marLeft w:val="0"/>
              <w:marRight w:val="0"/>
              <w:marTop w:val="0"/>
              <w:marBottom w:val="0"/>
              <w:divBdr>
                <w:top w:val="none" w:sz="0" w:space="0" w:color="auto"/>
                <w:left w:val="none" w:sz="0" w:space="0" w:color="auto"/>
                <w:bottom w:val="none" w:sz="0" w:space="0" w:color="auto"/>
                <w:right w:val="none" w:sz="0" w:space="0" w:color="auto"/>
              </w:divBdr>
              <w:divsChild>
                <w:div w:id="1280146716">
                  <w:marLeft w:val="0"/>
                  <w:marRight w:val="0"/>
                  <w:marTop w:val="0"/>
                  <w:marBottom w:val="0"/>
                  <w:divBdr>
                    <w:top w:val="none" w:sz="0" w:space="0" w:color="auto"/>
                    <w:left w:val="none" w:sz="0" w:space="0" w:color="auto"/>
                    <w:bottom w:val="none" w:sz="0" w:space="0" w:color="auto"/>
                    <w:right w:val="none" w:sz="0" w:space="0" w:color="auto"/>
                  </w:divBdr>
                  <w:divsChild>
                    <w:div w:id="791825757">
                      <w:marLeft w:val="0"/>
                      <w:marRight w:val="0"/>
                      <w:marTop w:val="0"/>
                      <w:marBottom w:val="0"/>
                      <w:divBdr>
                        <w:top w:val="none" w:sz="0" w:space="0" w:color="auto"/>
                        <w:left w:val="none" w:sz="0" w:space="0" w:color="auto"/>
                        <w:bottom w:val="none" w:sz="0" w:space="0" w:color="auto"/>
                        <w:right w:val="none" w:sz="0" w:space="0" w:color="auto"/>
                      </w:divBdr>
                      <w:divsChild>
                        <w:div w:id="1658848518">
                          <w:marLeft w:val="0"/>
                          <w:marRight w:val="0"/>
                          <w:marTop w:val="0"/>
                          <w:marBottom w:val="0"/>
                          <w:divBdr>
                            <w:top w:val="none" w:sz="0" w:space="0" w:color="auto"/>
                            <w:left w:val="none" w:sz="0" w:space="0" w:color="auto"/>
                            <w:bottom w:val="none" w:sz="0" w:space="0" w:color="auto"/>
                            <w:right w:val="none" w:sz="0" w:space="0" w:color="auto"/>
                          </w:divBdr>
                        </w:div>
                      </w:divsChild>
                    </w:div>
                    <w:div w:id="31227783">
                      <w:marLeft w:val="0"/>
                      <w:marRight w:val="0"/>
                      <w:marTop w:val="0"/>
                      <w:marBottom w:val="0"/>
                      <w:divBdr>
                        <w:top w:val="none" w:sz="0" w:space="0" w:color="auto"/>
                        <w:left w:val="none" w:sz="0" w:space="0" w:color="auto"/>
                        <w:bottom w:val="none" w:sz="0" w:space="0" w:color="auto"/>
                        <w:right w:val="none" w:sz="0" w:space="0" w:color="auto"/>
                      </w:divBdr>
                    </w:div>
                    <w:div w:id="136186994">
                      <w:marLeft w:val="0"/>
                      <w:marRight w:val="0"/>
                      <w:marTop w:val="0"/>
                      <w:marBottom w:val="0"/>
                      <w:divBdr>
                        <w:top w:val="none" w:sz="0" w:space="0" w:color="auto"/>
                        <w:left w:val="none" w:sz="0" w:space="0" w:color="auto"/>
                        <w:bottom w:val="none" w:sz="0" w:space="0" w:color="auto"/>
                        <w:right w:val="none" w:sz="0" w:space="0" w:color="auto"/>
                      </w:divBdr>
                    </w:div>
                    <w:div w:id="1767383052">
                      <w:marLeft w:val="0"/>
                      <w:marRight w:val="0"/>
                      <w:marTop w:val="0"/>
                      <w:marBottom w:val="0"/>
                      <w:divBdr>
                        <w:top w:val="none" w:sz="0" w:space="0" w:color="auto"/>
                        <w:left w:val="none" w:sz="0" w:space="0" w:color="auto"/>
                        <w:bottom w:val="none" w:sz="0" w:space="0" w:color="auto"/>
                        <w:right w:val="none" w:sz="0" w:space="0" w:color="auto"/>
                      </w:divBdr>
                    </w:div>
                    <w:div w:id="208542289">
                      <w:marLeft w:val="0"/>
                      <w:marRight w:val="0"/>
                      <w:marTop w:val="0"/>
                      <w:marBottom w:val="0"/>
                      <w:divBdr>
                        <w:top w:val="none" w:sz="0" w:space="0" w:color="auto"/>
                        <w:left w:val="none" w:sz="0" w:space="0" w:color="auto"/>
                        <w:bottom w:val="none" w:sz="0" w:space="0" w:color="auto"/>
                        <w:right w:val="none" w:sz="0" w:space="0" w:color="auto"/>
                      </w:divBdr>
                    </w:div>
                    <w:div w:id="372846691">
                      <w:marLeft w:val="0"/>
                      <w:marRight w:val="0"/>
                      <w:marTop w:val="0"/>
                      <w:marBottom w:val="0"/>
                      <w:divBdr>
                        <w:top w:val="none" w:sz="0" w:space="0" w:color="auto"/>
                        <w:left w:val="none" w:sz="0" w:space="0" w:color="auto"/>
                        <w:bottom w:val="none" w:sz="0" w:space="0" w:color="auto"/>
                        <w:right w:val="none" w:sz="0" w:space="0" w:color="auto"/>
                      </w:divBdr>
                    </w:div>
                    <w:div w:id="1360012547">
                      <w:marLeft w:val="0"/>
                      <w:marRight w:val="0"/>
                      <w:marTop w:val="0"/>
                      <w:marBottom w:val="0"/>
                      <w:divBdr>
                        <w:top w:val="none" w:sz="0" w:space="0" w:color="auto"/>
                        <w:left w:val="none" w:sz="0" w:space="0" w:color="auto"/>
                        <w:bottom w:val="none" w:sz="0" w:space="0" w:color="auto"/>
                        <w:right w:val="none" w:sz="0" w:space="0" w:color="auto"/>
                      </w:divBdr>
                    </w:div>
                    <w:div w:id="21147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15089">
      <w:bodyDiv w:val="1"/>
      <w:marLeft w:val="0"/>
      <w:marRight w:val="0"/>
      <w:marTop w:val="0"/>
      <w:marBottom w:val="0"/>
      <w:divBdr>
        <w:top w:val="none" w:sz="0" w:space="0" w:color="auto"/>
        <w:left w:val="none" w:sz="0" w:space="0" w:color="auto"/>
        <w:bottom w:val="none" w:sz="0" w:space="0" w:color="auto"/>
        <w:right w:val="none" w:sz="0" w:space="0" w:color="auto"/>
      </w:divBdr>
      <w:divsChild>
        <w:div w:id="56974942">
          <w:marLeft w:val="0"/>
          <w:marRight w:val="0"/>
          <w:marTop w:val="100"/>
          <w:marBottom w:val="100"/>
          <w:divBdr>
            <w:top w:val="none" w:sz="0" w:space="0" w:color="auto"/>
            <w:left w:val="none" w:sz="0" w:space="0" w:color="auto"/>
            <w:bottom w:val="none" w:sz="0" w:space="0" w:color="auto"/>
            <w:right w:val="none" w:sz="0" w:space="0" w:color="auto"/>
          </w:divBdr>
          <w:divsChild>
            <w:div w:id="492331238">
              <w:marLeft w:val="0"/>
              <w:marRight w:val="0"/>
              <w:marTop w:val="0"/>
              <w:marBottom w:val="0"/>
              <w:divBdr>
                <w:top w:val="none" w:sz="0" w:space="0" w:color="auto"/>
                <w:left w:val="none" w:sz="0" w:space="0" w:color="auto"/>
                <w:bottom w:val="none" w:sz="0" w:space="0" w:color="auto"/>
                <w:right w:val="none" w:sz="0" w:space="0" w:color="auto"/>
              </w:divBdr>
              <w:divsChild>
                <w:div w:id="79452590">
                  <w:marLeft w:val="0"/>
                  <w:marRight w:val="0"/>
                  <w:marTop w:val="0"/>
                  <w:marBottom w:val="0"/>
                  <w:divBdr>
                    <w:top w:val="none" w:sz="0" w:space="0" w:color="auto"/>
                    <w:left w:val="none" w:sz="0" w:space="0" w:color="auto"/>
                    <w:bottom w:val="none" w:sz="0" w:space="0" w:color="auto"/>
                    <w:right w:val="none" w:sz="0" w:space="0" w:color="auto"/>
                  </w:divBdr>
                  <w:divsChild>
                    <w:div w:id="352657780">
                      <w:marLeft w:val="0"/>
                      <w:marRight w:val="0"/>
                      <w:marTop w:val="0"/>
                      <w:marBottom w:val="0"/>
                      <w:divBdr>
                        <w:top w:val="none" w:sz="0" w:space="0" w:color="auto"/>
                        <w:left w:val="none" w:sz="0" w:space="0" w:color="auto"/>
                        <w:bottom w:val="none" w:sz="0" w:space="0" w:color="auto"/>
                        <w:right w:val="none" w:sz="0" w:space="0" w:color="auto"/>
                      </w:divBdr>
                      <w:divsChild>
                        <w:div w:id="1487472130">
                          <w:marLeft w:val="0"/>
                          <w:marRight w:val="0"/>
                          <w:marTop w:val="0"/>
                          <w:marBottom w:val="0"/>
                          <w:divBdr>
                            <w:top w:val="none" w:sz="0" w:space="0" w:color="auto"/>
                            <w:left w:val="none" w:sz="0" w:space="0" w:color="auto"/>
                            <w:bottom w:val="none" w:sz="0" w:space="0" w:color="auto"/>
                            <w:right w:val="none" w:sz="0" w:space="0" w:color="auto"/>
                          </w:divBdr>
                        </w:div>
                      </w:divsChild>
                    </w:div>
                    <w:div w:id="1576938772">
                      <w:marLeft w:val="0"/>
                      <w:marRight w:val="0"/>
                      <w:marTop w:val="0"/>
                      <w:marBottom w:val="0"/>
                      <w:divBdr>
                        <w:top w:val="none" w:sz="0" w:space="0" w:color="auto"/>
                        <w:left w:val="none" w:sz="0" w:space="0" w:color="auto"/>
                        <w:bottom w:val="none" w:sz="0" w:space="0" w:color="auto"/>
                        <w:right w:val="none" w:sz="0" w:space="0" w:color="auto"/>
                      </w:divBdr>
                    </w:div>
                    <w:div w:id="2108184793">
                      <w:marLeft w:val="0"/>
                      <w:marRight w:val="0"/>
                      <w:marTop w:val="0"/>
                      <w:marBottom w:val="0"/>
                      <w:divBdr>
                        <w:top w:val="none" w:sz="0" w:space="0" w:color="auto"/>
                        <w:left w:val="none" w:sz="0" w:space="0" w:color="auto"/>
                        <w:bottom w:val="none" w:sz="0" w:space="0" w:color="auto"/>
                        <w:right w:val="none" w:sz="0" w:space="0" w:color="auto"/>
                      </w:divBdr>
                    </w:div>
                    <w:div w:id="1223827363">
                      <w:marLeft w:val="0"/>
                      <w:marRight w:val="0"/>
                      <w:marTop w:val="0"/>
                      <w:marBottom w:val="0"/>
                      <w:divBdr>
                        <w:top w:val="none" w:sz="0" w:space="0" w:color="auto"/>
                        <w:left w:val="none" w:sz="0" w:space="0" w:color="auto"/>
                        <w:bottom w:val="none" w:sz="0" w:space="0" w:color="auto"/>
                        <w:right w:val="none" w:sz="0" w:space="0" w:color="auto"/>
                      </w:divBdr>
                    </w:div>
                    <w:div w:id="844828007">
                      <w:marLeft w:val="0"/>
                      <w:marRight w:val="0"/>
                      <w:marTop w:val="0"/>
                      <w:marBottom w:val="0"/>
                      <w:divBdr>
                        <w:top w:val="none" w:sz="0" w:space="0" w:color="auto"/>
                        <w:left w:val="none" w:sz="0" w:space="0" w:color="auto"/>
                        <w:bottom w:val="none" w:sz="0" w:space="0" w:color="auto"/>
                        <w:right w:val="none" w:sz="0" w:space="0" w:color="auto"/>
                      </w:divBdr>
                    </w:div>
                    <w:div w:id="718211425">
                      <w:marLeft w:val="0"/>
                      <w:marRight w:val="0"/>
                      <w:marTop w:val="0"/>
                      <w:marBottom w:val="0"/>
                      <w:divBdr>
                        <w:top w:val="none" w:sz="0" w:space="0" w:color="auto"/>
                        <w:left w:val="none" w:sz="0" w:space="0" w:color="auto"/>
                        <w:bottom w:val="none" w:sz="0" w:space="0" w:color="auto"/>
                        <w:right w:val="none" w:sz="0" w:space="0" w:color="auto"/>
                      </w:divBdr>
                    </w:div>
                    <w:div w:id="1483812905">
                      <w:marLeft w:val="0"/>
                      <w:marRight w:val="0"/>
                      <w:marTop w:val="0"/>
                      <w:marBottom w:val="0"/>
                      <w:divBdr>
                        <w:top w:val="none" w:sz="0" w:space="0" w:color="auto"/>
                        <w:left w:val="none" w:sz="0" w:space="0" w:color="auto"/>
                        <w:bottom w:val="none" w:sz="0" w:space="0" w:color="auto"/>
                        <w:right w:val="none" w:sz="0" w:space="0" w:color="auto"/>
                      </w:divBdr>
                    </w:div>
                    <w:div w:id="8097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ept.org/files/1051/Topics/Geolocation/ExplanatoryMemo.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fcc.gov/edocs_public/attachmatch/FCC-14-50A1.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cept.org/files/1051/Topics/Geolocation/FCC-15-99A1%20part%2015.pdf" TargetMode="External"/><Relationship Id="rId4" Type="http://schemas.microsoft.com/office/2007/relationships/stylesWithEffects" Target="stylesWithEffects.xml"/><Relationship Id="rId9" Type="http://schemas.openxmlformats.org/officeDocument/2006/relationships/hyperlink" Target="http://www.rcrwireless.com/article/20121001/spectrum_auction/fcc-proposes-incentive-auction-tv-airwaves/"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998B7-0BC7-4DD3-8BDD-6DF0EFFD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1688</TotalTime>
  <Pages>5</Pages>
  <Words>2523</Words>
  <Characters>14386</Characters>
  <Application>Microsoft Office Word</Application>
  <DocSecurity>0</DocSecurity>
  <Lines>119</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FM53</Company>
  <LinksUpToDate>false</LinksUpToDate>
  <CharactersWithSpaces>16876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Input to WG FM #82, Antalya</dc:subject>
  <dc:creator>Thomas Weber</dc:creator>
  <cp:lastModifiedBy>Stella Lyubchenko</cp:lastModifiedBy>
  <cp:revision>30</cp:revision>
  <dcterms:created xsi:type="dcterms:W3CDTF">2016-02-09T11:14:00Z</dcterms:created>
  <dcterms:modified xsi:type="dcterms:W3CDTF">2016-02-12T12:37:00Z</dcterms:modified>
</cp:coreProperties>
</file>